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D33B8" w14:textId="657EA38F" w:rsidR="006E0D2D" w:rsidRDefault="006E0D2D" w:rsidP="006E0D2D">
      <w:pPr>
        <w:framePr w:w="1714" w:h="1782" w:hSpace="180" w:wrap="auto" w:vAnchor="text" w:hAnchor="page" w:x="1021" w:y="-989"/>
      </w:pPr>
      <w:r>
        <w:object w:dxaOrig="3375" w:dyaOrig="3510" w14:anchorId="4B58C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4pt;height:87.75pt" o:ole="" fillcolor="window">
            <v:imagedata r:id="rId9" o:title=""/>
          </v:shape>
          <o:OLEObject Type="Embed" ProgID="Unknown" ShapeID="_x0000_i1034" DrawAspect="Content" ObjectID="_1673418213" r:id="rId10"/>
        </w:object>
      </w:r>
    </w:p>
    <w:p w14:paraId="72794489" w14:textId="4848D2A0" w:rsidR="006E0D2D" w:rsidRDefault="006E0D2D" w:rsidP="001C5772">
      <w:pPr>
        <w:rPr>
          <w:rFonts w:ascii="Calibri" w:hAnsi="Calibri" w:cs="Calibri"/>
          <w:b/>
          <w:sz w:val="20"/>
          <w:szCs w:val="20"/>
        </w:rPr>
      </w:pPr>
      <w:r>
        <w:rPr>
          <w:noProof/>
          <w:lang w:val="en-PH" w:eastAsia="en-PH"/>
        </w:rPr>
        <mc:AlternateContent>
          <mc:Choice Requires="wps">
            <w:drawing>
              <wp:anchor distT="0" distB="0" distL="114300" distR="114300" simplePos="0" relativeHeight="251659264" behindDoc="0" locked="0" layoutInCell="1" allowOverlap="1" wp14:anchorId="2CC526E2" wp14:editId="744DFD77">
                <wp:simplePos x="0" y="0"/>
                <wp:positionH relativeFrom="column">
                  <wp:posOffset>974090</wp:posOffset>
                </wp:positionH>
                <wp:positionV relativeFrom="paragraph">
                  <wp:posOffset>-340995</wp:posOffset>
                </wp:positionV>
                <wp:extent cx="4107815" cy="511810"/>
                <wp:effectExtent l="3175" t="1905" r="381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FF750" w14:textId="77777777" w:rsidR="006E0D2D" w:rsidRPr="001066AE" w:rsidRDefault="006E0D2D" w:rsidP="006E0D2D">
                            <w:pPr>
                              <w:spacing w:after="0"/>
                              <w:jc w:val="center"/>
                              <w:rPr>
                                <w:b/>
                                <w:sz w:val="28"/>
                                <w:szCs w:val="28"/>
                              </w:rPr>
                            </w:pPr>
                            <w:r w:rsidRPr="001066AE">
                              <w:rPr>
                                <w:b/>
                                <w:sz w:val="28"/>
                                <w:szCs w:val="28"/>
                              </w:rPr>
                              <w:t xml:space="preserve">TAX MANAGEMENT ASSOCIATION </w:t>
                            </w:r>
                          </w:p>
                          <w:p w14:paraId="394F604D" w14:textId="77777777" w:rsidR="006E0D2D" w:rsidRPr="001066AE" w:rsidRDefault="006E0D2D" w:rsidP="006E0D2D">
                            <w:pPr>
                              <w:jc w:val="center"/>
                              <w:rPr>
                                <w:b/>
                                <w:sz w:val="28"/>
                                <w:szCs w:val="28"/>
                              </w:rPr>
                            </w:pPr>
                            <w:r w:rsidRPr="001066AE">
                              <w:rPr>
                                <w:b/>
                                <w:sz w:val="28"/>
                                <w:szCs w:val="28"/>
                              </w:rPr>
                              <w:t>OF THE PHILIPPINES,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526E2" id="_x0000_t202" coordsize="21600,21600" o:spt="202" path="m,l,21600r21600,l21600,xe">
                <v:stroke joinstyle="miter"/>
                <v:path gradientshapeok="t" o:connecttype="rect"/>
              </v:shapetype>
              <v:shape id="Text Box 2" o:spid="_x0000_s1026" type="#_x0000_t202" style="position:absolute;margin-left:76.7pt;margin-top:-26.85pt;width:323.45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KCBgIAAO8DAAAOAAAAZHJzL2Uyb0RvYy54bWysU9tu2zAMfR+wfxD0vjgOkjYz4hRdigwD&#10;ugvQ7gNkWbaFyaJGKbGzrx8lp1nQvQ3TgyCK5BHPIbW5G3vDjgq9BlvyfDbnTFkJtbZtyb8/79+t&#10;OfNB2FoYsKrkJ+X53fbtm83gCrWADkytkBGI9cXgSt6F4Ios87JTvfAzcMqSswHsRSAT26xGMRB6&#10;b7LFfH6TDYC1Q5DKe7p9mJx8m/CbRsnwtWm8CsyUnGoLace0V3HPthtRtChcp+W5DPEPVfRCW3r0&#10;AvUggmAH1H9B9VoieGjCTEKfQdNoqRIHYpPPX7F56oRTiQuJ491FJv//YOWX4zdkui75DWdW9NSi&#10;ZzUG9gFGtojqDM4XFPTkKCyMdE1dTky9ewT5wzMLu07YVt0jwtApUVN1eczMrlInHB9BquEz1PSM&#10;OARIQGODfZSOxGCETl06XToTS5F0ucznt+t8xZkk3yrP13lqXSaKl2yHPnxU0LN4KDlS5xO6OD76&#10;EKsRxUtIfMyD0fVeG5MMbKudQXYUNCX7tBKBV2HGxmALMW1CjDeJZmQ2cQxjNZ5lq6A+EWGEaero&#10;l9ChA/zF2UATV3L/8yBQcWY+WRLtfb5cxhFNxnJ1uyADrz3VtUdYSVAlD5xNx12YxvrgULcdvTS1&#10;ycI9Cd3opEHsyFTVuW6aqiTN+QfEsb22U9Sff7r9DQAA//8DAFBLAwQUAAYACAAAACEAp4tCZd8A&#10;AAAKAQAADwAAAGRycy9kb3ducmV2LnhtbEyP0U6DQBBF3038h82Y+GLaxVKgRZZGTTS+tvYDBnYK&#10;RHaWsNtC/971yT7ezMm9Z4rdbHpxodF1lhU8LyMQxLXVHTcKjt8fiw0I55E19pZJwZUc7Mr7uwJz&#10;bSfe0+XgGxFK2OWooPV+yKV0dUsG3dIOxOF2sqNBH+LYSD3iFMpNL1dRlEqDHYeFFgd6b6n+OZyN&#10;gtPX9JRsp+rTH7P9On3DLqvsVanHh/n1BYSn2f/D8Kcf1KEMTpU9s3aiDzmJ1wFVsEjiDEQgNlEU&#10;g6gUrNItyLKQty+UvwAAAP//AwBQSwECLQAUAAYACAAAACEAtoM4kv4AAADhAQAAEwAAAAAAAAAA&#10;AAAAAAAAAAAAW0NvbnRlbnRfVHlwZXNdLnhtbFBLAQItABQABgAIAAAAIQA4/SH/1gAAAJQBAAAL&#10;AAAAAAAAAAAAAAAAAC8BAABfcmVscy8ucmVsc1BLAQItABQABgAIAAAAIQAbYZKCBgIAAO8DAAAO&#10;AAAAAAAAAAAAAAAAAC4CAABkcnMvZTJvRG9jLnhtbFBLAQItABQABgAIAAAAIQCni0Jl3wAAAAoB&#10;AAAPAAAAAAAAAAAAAAAAAGAEAABkcnMvZG93bnJldi54bWxQSwUGAAAAAAQABADzAAAAbAUAAAAA&#10;" stroked="f">
                <v:textbox>
                  <w:txbxContent>
                    <w:p w14:paraId="04CFF750" w14:textId="77777777" w:rsidR="006E0D2D" w:rsidRPr="001066AE" w:rsidRDefault="006E0D2D" w:rsidP="006E0D2D">
                      <w:pPr>
                        <w:spacing w:after="0"/>
                        <w:jc w:val="center"/>
                        <w:rPr>
                          <w:b/>
                          <w:sz w:val="28"/>
                          <w:szCs w:val="28"/>
                        </w:rPr>
                      </w:pPr>
                      <w:r w:rsidRPr="001066AE">
                        <w:rPr>
                          <w:b/>
                          <w:sz w:val="28"/>
                          <w:szCs w:val="28"/>
                        </w:rPr>
                        <w:t xml:space="preserve">TAX MANAGEMENT ASSOCIATION </w:t>
                      </w:r>
                    </w:p>
                    <w:p w14:paraId="394F604D" w14:textId="77777777" w:rsidR="006E0D2D" w:rsidRPr="001066AE" w:rsidRDefault="006E0D2D" w:rsidP="006E0D2D">
                      <w:pPr>
                        <w:jc w:val="center"/>
                        <w:rPr>
                          <w:b/>
                          <w:sz w:val="28"/>
                          <w:szCs w:val="28"/>
                        </w:rPr>
                      </w:pPr>
                      <w:r w:rsidRPr="001066AE">
                        <w:rPr>
                          <w:b/>
                          <w:sz w:val="28"/>
                          <w:szCs w:val="28"/>
                        </w:rPr>
                        <w:t>OF THE PHILIPPINES, INC.</w:t>
                      </w:r>
                    </w:p>
                  </w:txbxContent>
                </v:textbox>
              </v:shape>
            </w:pict>
          </mc:Fallback>
        </mc:AlternateContent>
      </w:r>
    </w:p>
    <w:p w14:paraId="782C09E7" w14:textId="75F9F30E" w:rsidR="006E0D2D" w:rsidRDefault="006E0D2D" w:rsidP="001C5772">
      <w:pPr>
        <w:rPr>
          <w:rFonts w:ascii="Calibri" w:hAnsi="Calibri" w:cs="Calibri"/>
          <w:b/>
          <w:sz w:val="20"/>
          <w:szCs w:val="20"/>
        </w:rPr>
      </w:pPr>
    </w:p>
    <w:p w14:paraId="10EE452B" w14:textId="1FE03773" w:rsidR="006E0D2D" w:rsidRDefault="006E0D2D" w:rsidP="001C5772">
      <w:pPr>
        <w:rPr>
          <w:rFonts w:ascii="Calibri" w:hAnsi="Calibri" w:cs="Calibri"/>
          <w:b/>
          <w:sz w:val="20"/>
          <w:szCs w:val="20"/>
        </w:rPr>
      </w:pPr>
    </w:p>
    <w:p w14:paraId="652A5285" w14:textId="4C84E7EA" w:rsidR="001C5772" w:rsidRPr="00BE736B" w:rsidRDefault="001C5772" w:rsidP="001C5772">
      <w:pPr>
        <w:rPr>
          <w:rFonts w:ascii="Calibri" w:hAnsi="Calibri" w:cs="Calibri"/>
          <w:b/>
          <w:sz w:val="20"/>
          <w:szCs w:val="20"/>
        </w:rPr>
      </w:pPr>
      <w:r w:rsidRPr="00BE736B">
        <w:rPr>
          <w:rFonts w:ascii="Calibri" w:hAnsi="Calibri" w:cs="Calibri"/>
          <w:b/>
          <w:sz w:val="20"/>
          <w:szCs w:val="20"/>
        </w:rPr>
        <w:t>TMAP TAX UPDATES</w:t>
      </w:r>
    </w:p>
    <w:p w14:paraId="23ACA7A9" w14:textId="77777777" w:rsidR="001C5772" w:rsidRPr="00BE736B" w:rsidRDefault="001C5772" w:rsidP="001C5772">
      <w:pPr>
        <w:rPr>
          <w:rFonts w:ascii="Calibri" w:hAnsi="Calibri" w:cs="Calibri"/>
          <w:b/>
          <w:sz w:val="20"/>
          <w:szCs w:val="20"/>
        </w:rPr>
      </w:pPr>
      <w:r w:rsidRPr="00BE736B">
        <w:rPr>
          <w:rFonts w:ascii="Calibri" w:hAnsi="Calibri" w:cs="Calibri"/>
          <w:b/>
          <w:sz w:val="20"/>
          <w:szCs w:val="20"/>
        </w:rPr>
        <w:t>DECEMBER 16, 2020 – JANUARY 15, 2021</w:t>
      </w:r>
    </w:p>
    <w:p w14:paraId="31A8D516" w14:textId="77777777" w:rsidR="001C5772" w:rsidRPr="00BE736B" w:rsidRDefault="001C5772" w:rsidP="001C5772">
      <w:pPr>
        <w:ind w:left="1440" w:right="720"/>
        <w:rPr>
          <w:rFonts w:ascii="Calibri" w:hAnsi="Calibri" w:cs="Calibri"/>
          <w:sz w:val="20"/>
          <w:szCs w:val="20"/>
        </w:rPr>
      </w:pPr>
    </w:p>
    <w:tbl>
      <w:tblPr>
        <w:tblStyle w:val="TableGrid"/>
        <w:tblW w:w="9310" w:type="dxa"/>
        <w:tblInd w:w="85" w:type="dxa"/>
        <w:tblLook w:val="04A0" w:firstRow="1" w:lastRow="0" w:firstColumn="1" w:lastColumn="0" w:noHBand="0" w:noVBand="1"/>
      </w:tblPr>
      <w:tblGrid>
        <w:gridCol w:w="2055"/>
        <w:gridCol w:w="1873"/>
        <w:gridCol w:w="32"/>
        <w:gridCol w:w="3824"/>
        <w:gridCol w:w="23"/>
        <w:gridCol w:w="1476"/>
        <w:gridCol w:w="27"/>
      </w:tblGrid>
      <w:tr w:rsidR="001C5772" w:rsidRPr="00BE736B" w14:paraId="29793A7C" w14:textId="77777777" w:rsidTr="00BE736B">
        <w:trPr>
          <w:gridAfter w:val="1"/>
          <w:wAfter w:w="27" w:type="dxa"/>
          <w:trHeight w:val="558"/>
        </w:trPr>
        <w:tc>
          <w:tcPr>
            <w:tcW w:w="2055" w:type="dxa"/>
          </w:tcPr>
          <w:p w14:paraId="35038CE7" w14:textId="77777777" w:rsidR="001C5772" w:rsidRPr="00BE736B" w:rsidRDefault="001C5772" w:rsidP="00BE736B">
            <w:pPr>
              <w:ind w:left="-1470" w:right="-1650"/>
              <w:rPr>
                <w:rFonts w:ascii="Calibri" w:hAnsi="Calibri" w:cs="Calibri"/>
                <w:b/>
                <w:bCs/>
                <w:sz w:val="20"/>
                <w:szCs w:val="20"/>
              </w:rPr>
            </w:pPr>
            <w:proofErr w:type="spellStart"/>
            <w:r w:rsidRPr="00BE736B">
              <w:rPr>
                <w:rFonts w:ascii="Calibri" w:hAnsi="Calibri" w:cs="Calibri"/>
                <w:b/>
                <w:bCs/>
                <w:sz w:val="20"/>
                <w:szCs w:val="20"/>
              </w:rPr>
              <w:t>ISSUANCEIss</w:t>
            </w:r>
            <w:proofErr w:type="spellEnd"/>
          </w:p>
        </w:tc>
        <w:tc>
          <w:tcPr>
            <w:tcW w:w="1873" w:type="dxa"/>
          </w:tcPr>
          <w:p w14:paraId="64414093" w14:textId="77777777" w:rsidR="001C5772" w:rsidRPr="00BE736B" w:rsidRDefault="001C5772" w:rsidP="00BE736B">
            <w:pPr>
              <w:ind w:right="45"/>
              <w:rPr>
                <w:rFonts w:ascii="Calibri" w:hAnsi="Calibri" w:cs="Calibri"/>
                <w:b/>
                <w:bCs/>
                <w:sz w:val="20"/>
                <w:szCs w:val="20"/>
              </w:rPr>
            </w:pPr>
            <w:r w:rsidRPr="00BE736B">
              <w:rPr>
                <w:rFonts w:ascii="Calibri" w:hAnsi="Calibri" w:cs="Calibri"/>
                <w:b/>
                <w:bCs/>
                <w:sz w:val="20"/>
                <w:szCs w:val="20"/>
              </w:rPr>
              <w:t>DATE ISSUED</w:t>
            </w:r>
          </w:p>
        </w:tc>
        <w:tc>
          <w:tcPr>
            <w:tcW w:w="3856" w:type="dxa"/>
            <w:gridSpan w:val="2"/>
          </w:tcPr>
          <w:p w14:paraId="36572C42" w14:textId="77777777" w:rsidR="001C5772" w:rsidRPr="00BE736B" w:rsidRDefault="001C5772" w:rsidP="00BE736B">
            <w:pPr>
              <w:ind w:right="720"/>
              <w:rPr>
                <w:rFonts w:ascii="Calibri" w:hAnsi="Calibri" w:cs="Calibri"/>
                <w:b/>
                <w:bCs/>
                <w:sz w:val="20"/>
                <w:szCs w:val="20"/>
              </w:rPr>
            </w:pPr>
            <w:r w:rsidRPr="00BE736B">
              <w:rPr>
                <w:rFonts w:ascii="Calibri" w:hAnsi="Calibri" w:cs="Calibri"/>
                <w:b/>
                <w:bCs/>
                <w:sz w:val="20"/>
                <w:szCs w:val="20"/>
              </w:rPr>
              <w:t>SUBJECT</w:t>
            </w:r>
          </w:p>
        </w:tc>
        <w:tc>
          <w:tcPr>
            <w:tcW w:w="1499" w:type="dxa"/>
            <w:gridSpan w:val="2"/>
          </w:tcPr>
          <w:p w14:paraId="4949A62F" w14:textId="77777777" w:rsidR="001C5772" w:rsidRPr="00BE736B" w:rsidRDefault="001C5772" w:rsidP="00BE736B">
            <w:pPr>
              <w:ind w:right="151"/>
              <w:rPr>
                <w:rFonts w:ascii="Calibri" w:hAnsi="Calibri" w:cs="Calibri"/>
                <w:b/>
                <w:bCs/>
                <w:sz w:val="20"/>
                <w:szCs w:val="20"/>
              </w:rPr>
            </w:pPr>
            <w:r w:rsidRPr="00BE736B">
              <w:rPr>
                <w:rFonts w:ascii="Calibri" w:hAnsi="Calibri" w:cs="Calibri"/>
                <w:b/>
                <w:bCs/>
                <w:sz w:val="20"/>
                <w:szCs w:val="20"/>
              </w:rPr>
              <w:t>PAGE NO.</w:t>
            </w:r>
          </w:p>
        </w:tc>
      </w:tr>
      <w:tr w:rsidR="001C5772" w:rsidRPr="00BE736B" w14:paraId="70F20F8E" w14:textId="77777777" w:rsidTr="00BE736B">
        <w:trPr>
          <w:gridAfter w:val="1"/>
          <w:wAfter w:w="27" w:type="dxa"/>
          <w:trHeight w:val="273"/>
        </w:trPr>
        <w:tc>
          <w:tcPr>
            <w:tcW w:w="9283" w:type="dxa"/>
            <w:gridSpan w:val="6"/>
          </w:tcPr>
          <w:p w14:paraId="2AC55F9F" w14:textId="77777777" w:rsidR="001C5772" w:rsidRPr="00BE736B" w:rsidRDefault="001C5772" w:rsidP="00BE736B">
            <w:pPr>
              <w:ind w:right="60"/>
              <w:rPr>
                <w:rFonts w:ascii="Calibri" w:hAnsi="Calibri" w:cs="Calibri"/>
                <w:b/>
                <w:bCs/>
                <w:sz w:val="20"/>
                <w:szCs w:val="20"/>
              </w:rPr>
            </w:pPr>
            <w:r w:rsidRPr="00BE736B">
              <w:rPr>
                <w:rFonts w:ascii="Calibri" w:hAnsi="Calibri" w:cs="Calibri"/>
                <w:b/>
                <w:bCs/>
                <w:sz w:val="20"/>
                <w:szCs w:val="20"/>
              </w:rPr>
              <w:t>REVENUE REGULATIONS</w:t>
            </w:r>
          </w:p>
        </w:tc>
      </w:tr>
      <w:tr w:rsidR="001C5772" w:rsidRPr="00BE736B" w14:paraId="37131A0A" w14:textId="77777777" w:rsidTr="00BE736B">
        <w:tc>
          <w:tcPr>
            <w:tcW w:w="2055" w:type="dxa"/>
          </w:tcPr>
          <w:p w14:paraId="114BAEA7"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Revenue Regulations No. 34-2020</w:t>
            </w:r>
          </w:p>
        </w:tc>
        <w:tc>
          <w:tcPr>
            <w:tcW w:w="1873" w:type="dxa"/>
          </w:tcPr>
          <w:p w14:paraId="1F77FE15" w14:textId="77777777" w:rsidR="001C5772" w:rsidRPr="00BE736B" w:rsidRDefault="001C5772" w:rsidP="00BE736B">
            <w:pPr>
              <w:ind w:right="135"/>
              <w:jc w:val="center"/>
              <w:rPr>
                <w:rFonts w:ascii="Calibri" w:hAnsi="Calibri" w:cs="Calibri"/>
                <w:sz w:val="20"/>
                <w:szCs w:val="20"/>
              </w:rPr>
            </w:pPr>
            <w:r w:rsidRPr="00BE736B">
              <w:rPr>
                <w:rFonts w:ascii="Calibri" w:hAnsi="Calibri" w:cs="Calibri"/>
                <w:sz w:val="20"/>
                <w:szCs w:val="20"/>
              </w:rPr>
              <w:t>December 18, 2020</w:t>
            </w:r>
          </w:p>
        </w:tc>
        <w:tc>
          <w:tcPr>
            <w:tcW w:w="3879" w:type="dxa"/>
            <w:gridSpan w:val="3"/>
          </w:tcPr>
          <w:p w14:paraId="595B350F"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To streamline the guidelines and procedures prescribed by RR No. 19-2020 for the submission of BIR Form No. 1709 (RPT Form), Transfer Pricing (TP) Documentation and other supporting documents by providing safe harbors and materiality thresholds.</w:t>
            </w:r>
          </w:p>
        </w:tc>
        <w:tc>
          <w:tcPr>
            <w:tcW w:w="1503" w:type="dxa"/>
            <w:gridSpan w:val="2"/>
          </w:tcPr>
          <w:p w14:paraId="1B0F5A97" w14:textId="77777777" w:rsidR="001C5772" w:rsidRPr="00BE736B" w:rsidRDefault="001C5772" w:rsidP="00BE736B">
            <w:pPr>
              <w:rPr>
                <w:rFonts w:ascii="Calibri" w:hAnsi="Calibri" w:cs="Calibri"/>
                <w:sz w:val="20"/>
                <w:szCs w:val="20"/>
              </w:rPr>
            </w:pPr>
          </w:p>
        </w:tc>
      </w:tr>
      <w:tr w:rsidR="001C5772" w:rsidRPr="00BE736B" w14:paraId="4C330FDB" w14:textId="77777777" w:rsidTr="00BE736B">
        <w:trPr>
          <w:trHeight w:val="273"/>
        </w:trPr>
        <w:tc>
          <w:tcPr>
            <w:tcW w:w="9310" w:type="dxa"/>
            <w:gridSpan w:val="7"/>
          </w:tcPr>
          <w:p w14:paraId="72DABA89" w14:textId="77777777" w:rsidR="001C5772" w:rsidRPr="00BE736B" w:rsidRDefault="001C5772" w:rsidP="00BE736B">
            <w:pPr>
              <w:ind w:right="60"/>
              <w:jc w:val="center"/>
              <w:rPr>
                <w:rFonts w:ascii="Calibri" w:hAnsi="Calibri" w:cs="Calibri"/>
                <w:b/>
                <w:bCs/>
                <w:sz w:val="20"/>
                <w:szCs w:val="20"/>
              </w:rPr>
            </w:pPr>
          </w:p>
        </w:tc>
      </w:tr>
      <w:tr w:rsidR="001C5772" w:rsidRPr="00BE736B" w14:paraId="7AC5EF23" w14:textId="77777777" w:rsidTr="00BE736B">
        <w:trPr>
          <w:trHeight w:val="285"/>
        </w:trPr>
        <w:tc>
          <w:tcPr>
            <w:tcW w:w="9310" w:type="dxa"/>
            <w:gridSpan w:val="7"/>
          </w:tcPr>
          <w:p w14:paraId="5DF42896" w14:textId="77777777" w:rsidR="001C5772" w:rsidRPr="00BE736B" w:rsidRDefault="001C5772" w:rsidP="00BE736B">
            <w:pPr>
              <w:ind w:right="60"/>
              <w:jc w:val="center"/>
              <w:rPr>
                <w:rFonts w:ascii="Calibri" w:hAnsi="Calibri" w:cs="Calibri"/>
                <w:b/>
                <w:bCs/>
                <w:sz w:val="20"/>
                <w:szCs w:val="20"/>
              </w:rPr>
            </w:pPr>
            <w:r w:rsidRPr="00BE736B">
              <w:rPr>
                <w:rFonts w:ascii="Calibri" w:hAnsi="Calibri" w:cs="Calibri"/>
                <w:b/>
                <w:bCs/>
                <w:sz w:val="20"/>
                <w:szCs w:val="20"/>
              </w:rPr>
              <w:t>REVENUE MEMORANDUM CIRCULARS</w:t>
            </w:r>
          </w:p>
        </w:tc>
      </w:tr>
      <w:tr w:rsidR="001C5772" w:rsidRPr="00BE736B" w14:paraId="2AAD456B" w14:textId="77777777" w:rsidTr="005C5B0C">
        <w:trPr>
          <w:trHeight w:val="273"/>
        </w:trPr>
        <w:tc>
          <w:tcPr>
            <w:tcW w:w="2055" w:type="dxa"/>
          </w:tcPr>
          <w:p w14:paraId="1673FA18"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Revenue Memorandum Circular No.136-2020 -submitted already</w:t>
            </w:r>
          </w:p>
        </w:tc>
        <w:tc>
          <w:tcPr>
            <w:tcW w:w="1905" w:type="dxa"/>
            <w:gridSpan w:val="2"/>
          </w:tcPr>
          <w:p w14:paraId="7A4E1F3E"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December 17, 2020</w:t>
            </w:r>
          </w:p>
        </w:tc>
        <w:tc>
          <w:tcPr>
            <w:tcW w:w="3847" w:type="dxa"/>
            <w:gridSpan w:val="2"/>
          </w:tcPr>
          <w:p w14:paraId="22117407" w14:textId="77777777" w:rsidR="001C5772" w:rsidRPr="00BE736B" w:rsidRDefault="001C5772" w:rsidP="00BE736B">
            <w:pPr>
              <w:ind w:right="60"/>
              <w:rPr>
                <w:rFonts w:ascii="Calibri" w:hAnsi="Calibri" w:cs="Calibri"/>
                <w:sz w:val="20"/>
                <w:szCs w:val="20"/>
              </w:rPr>
            </w:pPr>
            <w:r w:rsidRPr="00BE736B">
              <w:rPr>
                <w:rFonts w:ascii="Calibri" w:hAnsi="Calibri" w:cs="Calibri"/>
                <w:color w:val="222222"/>
                <w:sz w:val="20"/>
                <w:szCs w:val="20"/>
                <w:shd w:val="clear" w:color="auto" w:fill="FFFFFF"/>
              </w:rPr>
              <w:t xml:space="preserve">Clarifies the suspension of the statute of limitation provided under Revenue Regulations (RR) No. 11-2020- </w:t>
            </w:r>
          </w:p>
        </w:tc>
        <w:tc>
          <w:tcPr>
            <w:tcW w:w="1503" w:type="dxa"/>
            <w:gridSpan w:val="2"/>
          </w:tcPr>
          <w:p w14:paraId="129CF69B" w14:textId="77777777" w:rsidR="001C5772" w:rsidRPr="00BE736B" w:rsidRDefault="001C5772" w:rsidP="00BE736B">
            <w:pPr>
              <w:ind w:right="151"/>
              <w:rPr>
                <w:rFonts w:ascii="Calibri" w:hAnsi="Calibri" w:cs="Calibri"/>
                <w:sz w:val="20"/>
                <w:szCs w:val="20"/>
              </w:rPr>
            </w:pPr>
          </w:p>
        </w:tc>
      </w:tr>
      <w:tr w:rsidR="001C5772" w:rsidRPr="00BE736B" w14:paraId="251C830B" w14:textId="77777777" w:rsidTr="005C5B0C">
        <w:trPr>
          <w:trHeight w:val="273"/>
        </w:trPr>
        <w:tc>
          <w:tcPr>
            <w:tcW w:w="2055" w:type="dxa"/>
          </w:tcPr>
          <w:p w14:paraId="544CDAAF" w14:textId="77777777" w:rsidR="001C5772" w:rsidRPr="001C5772" w:rsidRDefault="001C5772" w:rsidP="00BE736B">
            <w:pPr>
              <w:ind w:right="45"/>
              <w:rPr>
                <w:rFonts w:ascii="Calibri" w:hAnsi="Calibri" w:cs="Calibri"/>
                <w:sz w:val="20"/>
                <w:szCs w:val="20"/>
              </w:rPr>
            </w:pPr>
            <w:r w:rsidRPr="001C5772">
              <w:rPr>
                <w:rFonts w:ascii="Calibri" w:hAnsi="Calibri" w:cs="Calibri"/>
                <w:sz w:val="20"/>
                <w:szCs w:val="20"/>
              </w:rPr>
              <w:t>Revenue Memorandum Circular No. 138-2020</w:t>
            </w:r>
          </w:p>
        </w:tc>
        <w:tc>
          <w:tcPr>
            <w:tcW w:w="1905" w:type="dxa"/>
            <w:gridSpan w:val="2"/>
          </w:tcPr>
          <w:p w14:paraId="236E49FC" w14:textId="77777777" w:rsidR="001C5772" w:rsidRPr="001C5772" w:rsidRDefault="001C5772" w:rsidP="00BE736B">
            <w:pPr>
              <w:ind w:right="45"/>
              <w:rPr>
                <w:rFonts w:ascii="Calibri" w:hAnsi="Calibri" w:cs="Calibri"/>
                <w:sz w:val="20"/>
                <w:szCs w:val="20"/>
              </w:rPr>
            </w:pPr>
            <w:r w:rsidRPr="001C5772">
              <w:rPr>
                <w:rFonts w:ascii="Calibri" w:hAnsi="Calibri" w:cs="Calibri"/>
                <w:sz w:val="20"/>
                <w:szCs w:val="20"/>
              </w:rPr>
              <w:t>December 23, 2020</w:t>
            </w:r>
          </w:p>
        </w:tc>
        <w:tc>
          <w:tcPr>
            <w:tcW w:w="3847" w:type="dxa"/>
            <w:gridSpan w:val="2"/>
          </w:tcPr>
          <w:p w14:paraId="59191D4A" w14:textId="77777777" w:rsidR="001C5772" w:rsidRPr="001C5772" w:rsidRDefault="001C5772" w:rsidP="00BE736B">
            <w:pPr>
              <w:ind w:right="60"/>
              <w:rPr>
                <w:rFonts w:ascii="Calibri" w:hAnsi="Calibri" w:cs="Calibri"/>
                <w:sz w:val="20"/>
                <w:szCs w:val="20"/>
              </w:rPr>
            </w:pPr>
            <w:r w:rsidRPr="001C5772">
              <w:rPr>
                <w:rFonts w:ascii="Calibri" w:hAnsi="Calibri" w:cs="Calibri"/>
                <w:sz w:val="20"/>
                <w:szCs w:val="20"/>
              </w:rPr>
              <w:t xml:space="preserve">Clarification on the </w:t>
            </w:r>
            <w:proofErr w:type="spellStart"/>
            <w:r w:rsidRPr="001C5772">
              <w:rPr>
                <w:rFonts w:ascii="Calibri" w:hAnsi="Calibri" w:cs="Calibri"/>
                <w:sz w:val="20"/>
                <w:szCs w:val="20"/>
              </w:rPr>
              <w:t>availment</w:t>
            </w:r>
            <w:proofErr w:type="spellEnd"/>
            <w:r w:rsidRPr="001C5772">
              <w:rPr>
                <w:rFonts w:ascii="Calibri" w:hAnsi="Calibri" w:cs="Calibri"/>
                <w:sz w:val="20"/>
                <w:szCs w:val="20"/>
              </w:rPr>
              <w:t xml:space="preserve"> of Net Operating Loss Carry-over (NOLCO) for taxpayers adopting fiscal year</w:t>
            </w:r>
          </w:p>
        </w:tc>
        <w:tc>
          <w:tcPr>
            <w:tcW w:w="1503" w:type="dxa"/>
            <w:gridSpan w:val="2"/>
          </w:tcPr>
          <w:p w14:paraId="33858A6F" w14:textId="77777777" w:rsidR="001C5772" w:rsidRPr="00BE736B" w:rsidRDefault="001C5772" w:rsidP="00BE736B">
            <w:pPr>
              <w:ind w:right="151"/>
              <w:rPr>
                <w:rFonts w:ascii="Calibri" w:hAnsi="Calibri" w:cs="Calibri"/>
                <w:sz w:val="20"/>
                <w:szCs w:val="20"/>
              </w:rPr>
            </w:pPr>
          </w:p>
        </w:tc>
      </w:tr>
      <w:tr w:rsidR="001C5772" w:rsidRPr="00BE736B" w14:paraId="0127B638" w14:textId="77777777" w:rsidTr="005C5B0C">
        <w:trPr>
          <w:trHeight w:val="273"/>
        </w:trPr>
        <w:tc>
          <w:tcPr>
            <w:tcW w:w="2055" w:type="dxa"/>
          </w:tcPr>
          <w:p w14:paraId="51DBF1BF" w14:textId="77777777" w:rsidR="001C5772" w:rsidRPr="001C5772" w:rsidRDefault="001C5772" w:rsidP="00BE736B">
            <w:pPr>
              <w:pStyle w:val="Heading2"/>
              <w:outlineLvl w:val="1"/>
              <w:rPr>
                <w:rFonts w:ascii="Calibri" w:eastAsiaTheme="minorHAnsi" w:hAnsi="Calibri" w:cs="Calibri"/>
                <w:color w:val="auto"/>
                <w:sz w:val="20"/>
                <w:szCs w:val="20"/>
              </w:rPr>
            </w:pPr>
            <w:r w:rsidRPr="001C5772">
              <w:rPr>
                <w:rFonts w:ascii="Calibri" w:eastAsiaTheme="minorHAnsi" w:hAnsi="Calibri" w:cs="Calibri"/>
                <w:color w:val="auto"/>
                <w:sz w:val="20"/>
                <w:szCs w:val="20"/>
              </w:rPr>
              <w:t xml:space="preserve">Revenue Memorandum Circular No. 139-2020 issued </w:t>
            </w:r>
          </w:p>
          <w:p w14:paraId="7DD6016D" w14:textId="77777777" w:rsidR="001C5772" w:rsidRPr="001C5772" w:rsidRDefault="001C5772" w:rsidP="00BE736B">
            <w:pPr>
              <w:pStyle w:val="Heading2"/>
              <w:outlineLvl w:val="1"/>
              <w:rPr>
                <w:rFonts w:ascii="Calibri" w:eastAsiaTheme="minorHAnsi" w:hAnsi="Calibri" w:cs="Calibri"/>
                <w:color w:val="auto"/>
                <w:sz w:val="20"/>
                <w:szCs w:val="20"/>
              </w:rPr>
            </w:pPr>
          </w:p>
        </w:tc>
        <w:tc>
          <w:tcPr>
            <w:tcW w:w="1905" w:type="dxa"/>
            <w:gridSpan w:val="2"/>
          </w:tcPr>
          <w:p w14:paraId="1601B906" w14:textId="77777777" w:rsidR="001C5772" w:rsidRPr="001C5772" w:rsidRDefault="001C5772" w:rsidP="00BE736B">
            <w:pPr>
              <w:pStyle w:val="Heading2"/>
              <w:outlineLvl w:val="1"/>
              <w:rPr>
                <w:rFonts w:ascii="Calibri" w:eastAsiaTheme="minorHAnsi" w:hAnsi="Calibri" w:cs="Calibri"/>
                <w:color w:val="auto"/>
                <w:sz w:val="20"/>
                <w:szCs w:val="20"/>
              </w:rPr>
            </w:pPr>
            <w:r w:rsidRPr="001C5772">
              <w:rPr>
                <w:rFonts w:ascii="Calibri" w:eastAsiaTheme="minorHAnsi" w:hAnsi="Calibri" w:cs="Calibri"/>
                <w:color w:val="auto"/>
                <w:sz w:val="20"/>
                <w:szCs w:val="20"/>
              </w:rPr>
              <w:t>December 23, 2020</w:t>
            </w:r>
          </w:p>
        </w:tc>
        <w:tc>
          <w:tcPr>
            <w:tcW w:w="3847" w:type="dxa"/>
            <w:gridSpan w:val="2"/>
          </w:tcPr>
          <w:p w14:paraId="5B23C98F" w14:textId="77777777" w:rsidR="001C5772" w:rsidRPr="001C5772" w:rsidRDefault="001C5772" w:rsidP="00BE736B">
            <w:pPr>
              <w:ind w:right="60"/>
              <w:rPr>
                <w:rFonts w:ascii="Calibri" w:hAnsi="Calibri" w:cs="Calibri"/>
                <w:sz w:val="20"/>
                <w:szCs w:val="20"/>
              </w:rPr>
            </w:pPr>
            <w:r w:rsidRPr="001C5772">
              <w:rPr>
                <w:rFonts w:ascii="Calibri" w:hAnsi="Calibri" w:cs="Calibri"/>
                <w:sz w:val="20"/>
                <w:szCs w:val="20"/>
              </w:rPr>
              <w:t>Guidelines on the utilization of the 5% tax credit under the PERA Act</w:t>
            </w:r>
          </w:p>
        </w:tc>
        <w:tc>
          <w:tcPr>
            <w:tcW w:w="1503" w:type="dxa"/>
            <w:gridSpan w:val="2"/>
          </w:tcPr>
          <w:p w14:paraId="06F85D80" w14:textId="77777777" w:rsidR="001C5772" w:rsidRPr="00BE736B" w:rsidRDefault="001C5772" w:rsidP="00BE736B">
            <w:pPr>
              <w:ind w:right="151"/>
              <w:rPr>
                <w:rFonts w:ascii="Calibri" w:hAnsi="Calibri" w:cs="Calibri"/>
                <w:sz w:val="20"/>
                <w:szCs w:val="20"/>
                <w:highlight w:val="green"/>
              </w:rPr>
            </w:pPr>
          </w:p>
        </w:tc>
      </w:tr>
      <w:tr w:rsidR="001C5772" w:rsidRPr="00BE736B" w14:paraId="711E2777" w14:textId="77777777" w:rsidTr="005C5B0C">
        <w:trPr>
          <w:trHeight w:val="273"/>
        </w:trPr>
        <w:tc>
          <w:tcPr>
            <w:tcW w:w="2055" w:type="dxa"/>
          </w:tcPr>
          <w:p w14:paraId="6B863717"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Revenue Memorandum Circular No. 1-2021</w:t>
            </w:r>
          </w:p>
        </w:tc>
        <w:tc>
          <w:tcPr>
            <w:tcW w:w="1905" w:type="dxa"/>
            <w:gridSpan w:val="2"/>
          </w:tcPr>
          <w:p w14:paraId="16FC68C4"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December 17, 2020</w:t>
            </w:r>
          </w:p>
        </w:tc>
        <w:tc>
          <w:tcPr>
            <w:tcW w:w="3847" w:type="dxa"/>
            <w:gridSpan w:val="2"/>
          </w:tcPr>
          <w:p w14:paraId="6C4BEC82"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 xml:space="preserve">Consolidated Price of Sugar at </w:t>
            </w:r>
            <w:proofErr w:type="spellStart"/>
            <w:r w:rsidRPr="00BE736B">
              <w:rPr>
                <w:rFonts w:ascii="Calibri" w:hAnsi="Calibri" w:cs="Calibri"/>
                <w:sz w:val="20"/>
                <w:szCs w:val="20"/>
              </w:rPr>
              <w:t>Millsite</w:t>
            </w:r>
            <w:proofErr w:type="spellEnd"/>
            <w:r w:rsidRPr="00BE736B">
              <w:rPr>
                <w:rFonts w:ascii="Calibri" w:hAnsi="Calibri" w:cs="Calibri"/>
                <w:sz w:val="20"/>
                <w:szCs w:val="20"/>
              </w:rPr>
              <w:t xml:space="preserve"> for the Month of November 2020</w:t>
            </w:r>
          </w:p>
        </w:tc>
        <w:tc>
          <w:tcPr>
            <w:tcW w:w="1503" w:type="dxa"/>
            <w:gridSpan w:val="2"/>
          </w:tcPr>
          <w:p w14:paraId="37BD381B" w14:textId="77777777" w:rsidR="001C5772" w:rsidRPr="00BE736B" w:rsidRDefault="001C5772" w:rsidP="00BE736B">
            <w:pPr>
              <w:ind w:right="151"/>
              <w:rPr>
                <w:rFonts w:ascii="Calibri" w:hAnsi="Calibri" w:cs="Calibri"/>
                <w:sz w:val="20"/>
                <w:szCs w:val="20"/>
              </w:rPr>
            </w:pPr>
          </w:p>
        </w:tc>
      </w:tr>
      <w:tr w:rsidR="001C5772" w:rsidRPr="00BE736B" w14:paraId="28D033DC" w14:textId="77777777" w:rsidTr="005C5B0C">
        <w:trPr>
          <w:trHeight w:val="273"/>
        </w:trPr>
        <w:tc>
          <w:tcPr>
            <w:tcW w:w="2055" w:type="dxa"/>
          </w:tcPr>
          <w:p w14:paraId="2CDD0142"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Revenue Memorandum Circular No. 2-2021</w:t>
            </w:r>
          </w:p>
        </w:tc>
        <w:tc>
          <w:tcPr>
            <w:tcW w:w="1905" w:type="dxa"/>
            <w:gridSpan w:val="2"/>
          </w:tcPr>
          <w:p w14:paraId="358612B9"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January 6, 2021</w:t>
            </w:r>
          </w:p>
        </w:tc>
        <w:tc>
          <w:tcPr>
            <w:tcW w:w="3847" w:type="dxa"/>
            <w:gridSpan w:val="2"/>
          </w:tcPr>
          <w:p w14:paraId="73892390"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Guidelines Relative to the Postponement of Effectivity of Enlisting/Delisting of Large Taxpayers</w:t>
            </w:r>
          </w:p>
        </w:tc>
        <w:tc>
          <w:tcPr>
            <w:tcW w:w="1503" w:type="dxa"/>
            <w:gridSpan w:val="2"/>
          </w:tcPr>
          <w:p w14:paraId="6F263BC7" w14:textId="77777777" w:rsidR="001C5772" w:rsidRPr="00BE736B" w:rsidRDefault="001C5772" w:rsidP="00BE736B">
            <w:pPr>
              <w:ind w:right="151"/>
              <w:rPr>
                <w:rFonts w:ascii="Calibri" w:hAnsi="Calibri" w:cs="Calibri"/>
                <w:sz w:val="20"/>
                <w:szCs w:val="20"/>
              </w:rPr>
            </w:pPr>
          </w:p>
        </w:tc>
      </w:tr>
      <w:tr w:rsidR="001C5772" w:rsidRPr="00BE736B" w14:paraId="678121F9" w14:textId="77777777" w:rsidTr="005C5B0C">
        <w:trPr>
          <w:trHeight w:val="273"/>
        </w:trPr>
        <w:tc>
          <w:tcPr>
            <w:tcW w:w="2055" w:type="dxa"/>
          </w:tcPr>
          <w:p w14:paraId="56624E6B"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Revenue Memorandum Circular No. 4-2021</w:t>
            </w:r>
          </w:p>
        </w:tc>
        <w:tc>
          <w:tcPr>
            <w:tcW w:w="1905" w:type="dxa"/>
            <w:gridSpan w:val="2"/>
          </w:tcPr>
          <w:p w14:paraId="1467545D"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December 22, 2020</w:t>
            </w:r>
          </w:p>
        </w:tc>
        <w:tc>
          <w:tcPr>
            <w:tcW w:w="3847" w:type="dxa"/>
            <w:gridSpan w:val="2"/>
          </w:tcPr>
          <w:p w14:paraId="5B1C2011" w14:textId="77777777" w:rsidR="001C5772" w:rsidRPr="00BE736B" w:rsidRDefault="001C5772" w:rsidP="00BE736B">
            <w:pPr>
              <w:ind w:right="60"/>
              <w:rPr>
                <w:rFonts w:ascii="Calibri" w:hAnsi="Calibri" w:cs="Calibri"/>
                <w:bCs/>
                <w:sz w:val="20"/>
                <w:szCs w:val="20"/>
              </w:rPr>
            </w:pPr>
            <w:r w:rsidRPr="00BE736B">
              <w:rPr>
                <w:rFonts w:ascii="Calibri" w:hAnsi="Calibri" w:cs="Calibri"/>
                <w:sz w:val="20"/>
                <w:szCs w:val="20"/>
              </w:rPr>
              <w:t>Guidelines in the Filing of Tax Returns Including the Required Attachments and Payment of Internal Revenue Taxes</w:t>
            </w:r>
          </w:p>
        </w:tc>
        <w:tc>
          <w:tcPr>
            <w:tcW w:w="1503" w:type="dxa"/>
            <w:gridSpan w:val="2"/>
          </w:tcPr>
          <w:p w14:paraId="6107136D" w14:textId="77777777" w:rsidR="001C5772" w:rsidRPr="00BE736B" w:rsidRDefault="001C5772" w:rsidP="00BE736B">
            <w:pPr>
              <w:ind w:right="151"/>
              <w:rPr>
                <w:rFonts w:ascii="Calibri" w:hAnsi="Calibri" w:cs="Calibri"/>
                <w:sz w:val="20"/>
                <w:szCs w:val="20"/>
              </w:rPr>
            </w:pPr>
          </w:p>
        </w:tc>
      </w:tr>
      <w:tr w:rsidR="001C5772" w:rsidRPr="00BE736B" w14:paraId="39FC3A5C" w14:textId="77777777" w:rsidTr="005C5B0C">
        <w:trPr>
          <w:trHeight w:val="273"/>
        </w:trPr>
        <w:tc>
          <w:tcPr>
            <w:tcW w:w="2055" w:type="dxa"/>
          </w:tcPr>
          <w:p w14:paraId="60014471"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Revenue Memorandum Circular No. 5-2021</w:t>
            </w:r>
          </w:p>
        </w:tc>
        <w:tc>
          <w:tcPr>
            <w:tcW w:w="1905" w:type="dxa"/>
            <w:gridSpan w:val="2"/>
          </w:tcPr>
          <w:p w14:paraId="2BAB8DFA"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December 28, 2020</w:t>
            </w:r>
          </w:p>
        </w:tc>
        <w:tc>
          <w:tcPr>
            <w:tcW w:w="3847" w:type="dxa"/>
            <w:gridSpan w:val="2"/>
          </w:tcPr>
          <w:p w14:paraId="6F726B03" w14:textId="77777777" w:rsidR="001C5772" w:rsidRPr="00BE736B" w:rsidRDefault="001C5772" w:rsidP="00BE736B">
            <w:pPr>
              <w:ind w:right="60"/>
              <w:rPr>
                <w:rFonts w:ascii="Calibri" w:hAnsi="Calibri" w:cs="Calibri"/>
                <w:bCs/>
                <w:sz w:val="20"/>
                <w:szCs w:val="20"/>
              </w:rPr>
            </w:pPr>
            <w:r w:rsidRPr="00BE736B">
              <w:rPr>
                <w:rFonts w:ascii="Calibri" w:hAnsi="Calibri" w:cs="Calibri"/>
                <w:bCs/>
                <w:sz w:val="20"/>
                <w:szCs w:val="20"/>
              </w:rPr>
              <w:t>Simplified Policies on the Application for Registration of Computerized Accounting System (CAS), Computerized Books of Accounts (CBA) and/or its Components, including the Electronic Storage System (ESS), Middleware and Other Similar Systems</w:t>
            </w:r>
          </w:p>
        </w:tc>
        <w:tc>
          <w:tcPr>
            <w:tcW w:w="1503" w:type="dxa"/>
            <w:gridSpan w:val="2"/>
          </w:tcPr>
          <w:p w14:paraId="13803EF7" w14:textId="77777777" w:rsidR="001C5772" w:rsidRPr="00BE736B" w:rsidRDefault="001C5772" w:rsidP="00BE736B">
            <w:pPr>
              <w:ind w:right="151"/>
              <w:rPr>
                <w:rFonts w:ascii="Calibri" w:hAnsi="Calibri" w:cs="Calibri"/>
                <w:sz w:val="20"/>
                <w:szCs w:val="20"/>
              </w:rPr>
            </w:pPr>
          </w:p>
        </w:tc>
      </w:tr>
      <w:tr w:rsidR="001C5772" w:rsidRPr="00BE736B" w14:paraId="18B15C72" w14:textId="77777777" w:rsidTr="005C5B0C">
        <w:trPr>
          <w:trHeight w:val="273"/>
        </w:trPr>
        <w:tc>
          <w:tcPr>
            <w:tcW w:w="2055" w:type="dxa"/>
          </w:tcPr>
          <w:p w14:paraId="1C57B0D8"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lastRenderedPageBreak/>
              <w:t>Revenue Memorandum Circular No. 6-2021</w:t>
            </w:r>
          </w:p>
        </w:tc>
        <w:tc>
          <w:tcPr>
            <w:tcW w:w="1905" w:type="dxa"/>
            <w:gridSpan w:val="2"/>
          </w:tcPr>
          <w:p w14:paraId="6B2804A4"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January 8, 2021</w:t>
            </w:r>
          </w:p>
        </w:tc>
        <w:tc>
          <w:tcPr>
            <w:tcW w:w="3847" w:type="dxa"/>
            <w:gridSpan w:val="2"/>
          </w:tcPr>
          <w:p w14:paraId="7946EDED" w14:textId="77777777" w:rsidR="001C5772" w:rsidRPr="00BE736B" w:rsidRDefault="001C5772" w:rsidP="00BE736B">
            <w:pPr>
              <w:ind w:right="60"/>
              <w:rPr>
                <w:rFonts w:ascii="Calibri" w:hAnsi="Calibri" w:cs="Calibri"/>
                <w:bCs/>
                <w:sz w:val="20"/>
                <w:szCs w:val="20"/>
              </w:rPr>
            </w:pPr>
            <w:r w:rsidRPr="00BE736B">
              <w:rPr>
                <w:rFonts w:ascii="Calibri" w:hAnsi="Calibri" w:cs="Calibri"/>
                <w:color w:val="222222"/>
                <w:sz w:val="20"/>
                <w:szCs w:val="20"/>
                <w:shd w:val="clear" w:color="auto" w:fill="FFFFFF"/>
              </w:rPr>
              <w:t>Prescribes the revised BIR Form No. 2200-M [Excise Tax Return for Mineral Products] </w:t>
            </w:r>
          </w:p>
        </w:tc>
        <w:tc>
          <w:tcPr>
            <w:tcW w:w="1503" w:type="dxa"/>
            <w:gridSpan w:val="2"/>
          </w:tcPr>
          <w:p w14:paraId="3122A219" w14:textId="77777777" w:rsidR="001C5772" w:rsidRPr="00BE736B" w:rsidRDefault="001C5772" w:rsidP="00BE736B">
            <w:pPr>
              <w:ind w:right="151"/>
              <w:rPr>
                <w:rFonts w:ascii="Calibri" w:hAnsi="Calibri" w:cs="Calibri"/>
                <w:sz w:val="20"/>
                <w:szCs w:val="20"/>
              </w:rPr>
            </w:pPr>
          </w:p>
        </w:tc>
      </w:tr>
      <w:tr w:rsidR="001C5772" w:rsidRPr="00BE736B" w14:paraId="3A9A418F" w14:textId="77777777" w:rsidTr="005C5B0C">
        <w:trPr>
          <w:trHeight w:val="273"/>
        </w:trPr>
        <w:tc>
          <w:tcPr>
            <w:tcW w:w="2055" w:type="dxa"/>
          </w:tcPr>
          <w:p w14:paraId="67344034"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Revenue Memorandum Circular No. 7-2021</w:t>
            </w:r>
          </w:p>
        </w:tc>
        <w:tc>
          <w:tcPr>
            <w:tcW w:w="1905" w:type="dxa"/>
            <w:gridSpan w:val="2"/>
          </w:tcPr>
          <w:p w14:paraId="5A8FECF8"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January 8, 2021</w:t>
            </w:r>
          </w:p>
        </w:tc>
        <w:tc>
          <w:tcPr>
            <w:tcW w:w="3847" w:type="dxa"/>
            <w:gridSpan w:val="2"/>
          </w:tcPr>
          <w:p w14:paraId="5E82DD61"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 xml:space="preserve">Availability of the </w:t>
            </w:r>
            <w:proofErr w:type="spellStart"/>
            <w:r w:rsidRPr="00BE736B">
              <w:rPr>
                <w:rFonts w:ascii="Calibri" w:hAnsi="Calibri" w:cs="Calibri"/>
                <w:sz w:val="20"/>
                <w:szCs w:val="20"/>
              </w:rPr>
              <w:t>Alphalist</w:t>
            </w:r>
            <w:proofErr w:type="spellEnd"/>
            <w:r w:rsidRPr="00BE736B">
              <w:rPr>
                <w:rFonts w:ascii="Calibri" w:hAnsi="Calibri" w:cs="Calibri"/>
                <w:sz w:val="20"/>
                <w:szCs w:val="20"/>
              </w:rPr>
              <w:t xml:space="preserve"> Data Entry and Validation Module (Version 7.0) and its Updated File Structures, Standard File Naming Convention, and Job Aids</w:t>
            </w:r>
          </w:p>
        </w:tc>
        <w:tc>
          <w:tcPr>
            <w:tcW w:w="1503" w:type="dxa"/>
            <w:gridSpan w:val="2"/>
          </w:tcPr>
          <w:p w14:paraId="5D73B2AB" w14:textId="77777777" w:rsidR="001C5772" w:rsidRPr="00BE736B" w:rsidRDefault="001C5772" w:rsidP="00BE736B">
            <w:pPr>
              <w:ind w:right="151"/>
              <w:rPr>
                <w:rFonts w:ascii="Calibri" w:hAnsi="Calibri" w:cs="Calibri"/>
                <w:sz w:val="20"/>
                <w:szCs w:val="20"/>
              </w:rPr>
            </w:pPr>
          </w:p>
        </w:tc>
      </w:tr>
      <w:tr w:rsidR="001C5772" w:rsidRPr="00BE736B" w14:paraId="6D7803A9" w14:textId="77777777" w:rsidTr="005C5B0C">
        <w:trPr>
          <w:trHeight w:val="273"/>
        </w:trPr>
        <w:tc>
          <w:tcPr>
            <w:tcW w:w="2055" w:type="dxa"/>
          </w:tcPr>
          <w:p w14:paraId="4AD1D2F4"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 xml:space="preserve">Revenue Memorandum Circular No. 8-2021 </w:t>
            </w:r>
          </w:p>
        </w:tc>
        <w:tc>
          <w:tcPr>
            <w:tcW w:w="1905" w:type="dxa"/>
            <w:gridSpan w:val="2"/>
          </w:tcPr>
          <w:p w14:paraId="6E96C9D5"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January 11, 2021</w:t>
            </w:r>
          </w:p>
        </w:tc>
        <w:tc>
          <w:tcPr>
            <w:tcW w:w="3847" w:type="dxa"/>
            <w:gridSpan w:val="2"/>
          </w:tcPr>
          <w:p w14:paraId="29C9DF80"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Circularizes Republic Act No. 11467, entitled “An Act Amending Sections 109, 141, 142, 143, 144, 147, 152, 263, 263-A, 265, and 288-4, and Adding a New Section 290-A to Republic Act No. 8424, as Amended, Otherwise Known as the National Internal Revenue Code of 1997, and for Other Purposes", which provides, among others, the VAT exemption of sale or importation of prescription drugs and medicines for diabetes, high cholesterol, and hypertension beginning January 27, 2020, and increase in excise taxes on alcohol products, tobacco products and e-cigarettes.</w:t>
            </w:r>
          </w:p>
        </w:tc>
        <w:tc>
          <w:tcPr>
            <w:tcW w:w="1503" w:type="dxa"/>
            <w:gridSpan w:val="2"/>
          </w:tcPr>
          <w:p w14:paraId="408FF35D" w14:textId="77777777" w:rsidR="001C5772" w:rsidRPr="00BE736B" w:rsidRDefault="001C5772" w:rsidP="00BE736B">
            <w:pPr>
              <w:ind w:right="151"/>
              <w:rPr>
                <w:rFonts w:ascii="Calibri" w:hAnsi="Calibri" w:cs="Calibri"/>
                <w:sz w:val="20"/>
                <w:szCs w:val="20"/>
              </w:rPr>
            </w:pPr>
          </w:p>
        </w:tc>
      </w:tr>
      <w:tr w:rsidR="001C5772" w:rsidRPr="00BE736B" w14:paraId="6F2A2B7D" w14:textId="77777777" w:rsidTr="00BE736B">
        <w:trPr>
          <w:trHeight w:val="273"/>
        </w:trPr>
        <w:tc>
          <w:tcPr>
            <w:tcW w:w="9310" w:type="dxa"/>
            <w:gridSpan w:val="7"/>
          </w:tcPr>
          <w:p w14:paraId="3031522C" w14:textId="77777777" w:rsidR="001C5772" w:rsidRPr="00BE736B" w:rsidRDefault="001C5772" w:rsidP="00BE736B">
            <w:pPr>
              <w:ind w:right="720"/>
              <w:rPr>
                <w:rFonts w:ascii="Calibri" w:hAnsi="Calibri" w:cs="Calibri"/>
                <w:b/>
                <w:bCs/>
                <w:sz w:val="20"/>
                <w:szCs w:val="20"/>
              </w:rPr>
            </w:pPr>
            <w:r w:rsidRPr="00BE736B">
              <w:rPr>
                <w:rFonts w:ascii="Calibri" w:hAnsi="Calibri" w:cs="Calibri"/>
                <w:b/>
                <w:bCs/>
                <w:sz w:val="20"/>
                <w:szCs w:val="20"/>
              </w:rPr>
              <w:t>REVENUE MEMORANDUM ORDERS</w:t>
            </w:r>
          </w:p>
        </w:tc>
      </w:tr>
      <w:tr w:rsidR="001C5772" w:rsidRPr="00BE736B" w14:paraId="60B951BD" w14:textId="77777777" w:rsidTr="005C5B0C">
        <w:trPr>
          <w:trHeight w:val="773"/>
        </w:trPr>
        <w:tc>
          <w:tcPr>
            <w:tcW w:w="2055" w:type="dxa"/>
          </w:tcPr>
          <w:p w14:paraId="3FD33B84" w14:textId="77777777" w:rsidR="001C5772" w:rsidRPr="00BE736B" w:rsidRDefault="001C5772" w:rsidP="00BE736B">
            <w:pPr>
              <w:ind w:right="-30"/>
              <w:rPr>
                <w:rFonts w:ascii="Calibri" w:hAnsi="Calibri" w:cs="Calibri"/>
                <w:sz w:val="20"/>
                <w:szCs w:val="20"/>
              </w:rPr>
            </w:pPr>
            <w:r w:rsidRPr="00BE736B">
              <w:rPr>
                <w:rFonts w:ascii="Calibri" w:hAnsi="Calibri" w:cs="Calibri"/>
                <w:b/>
                <w:bCs/>
                <w:sz w:val="20"/>
                <w:szCs w:val="20"/>
              </w:rPr>
              <w:t>ISSUANCE</w:t>
            </w:r>
          </w:p>
        </w:tc>
        <w:tc>
          <w:tcPr>
            <w:tcW w:w="1905" w:type="dxa"/>
            <w:gridSpan w:val="2"/>
          </w:tcPr>
          <w:p w14:paraId="259F2061" w14:textId="77777777" w:rsidR="001C5772" w:rsidRPr="00BE736B" w:rsidRDefault="001C5772" w:rsidP="00BE736B">
            <w:pPr>
              <w:ind w:right="45"/>
              <w:rPr>
                <w:rFonts w:ascii="Calibri" w:hAnsi="Calibri" w:cs="Calibri"/>
                <w:sz w:val="20"/>
                <w:szCs w:val="20"/>
              </w:rPr>
            </w:pPr>
            <w:r w:rsidRPr="00BE736B">
              <w:rPr>
                <w:rFonts w:ascii="Calibri" w:hAnsi="Calibri" w:cs="Calibri"/>
                <w:b/>
                <w:bCs/>
                <w:sz w:val="20"/>
                <w:szCs w:val="20"/>
              </w:rPr>
              <w:t>DATE ISSUED</w:t>
            </w:r>
          </w:p>
        </w:tc>
        <w:tc>
          <w:tcPr>
            <w:tcW w:w="3847" w:type="dxa"/>
            <w:gridSpan w:val="2"/>
          </w:tcPr>
          <w:p w14:paraId="64A9F284" w14:textId="77777777" w:rsidR="001C5772" w:rsidRPr="00BE736B" w:rsidRDefault="001C5772" w:rsidP="00BE736B">
            <w:pPr>
              <w:ind w:right="60"/>
              <w:rPr>
                <w:rFonts w:ascii="Calibri" w:hAnsi="Calibri" w:cs="Calibri"/>
                <w:sz w:val="20"/>
                <w:szCs w:val="20"/>
              </w:rPr>
            </w:pPr>
            <w:r w:rsidRPr="00BE736B">
              <w:rPr>
                <w:rFonts w:ascii="Calibri" w:hAnsi="Calibri" w:cs="Calibri"/>
                <w:b/>
                <w:bCs/>
                <w:sz w:val="20"/>
                <w:szCs w:val="20"/>
              </w:rPr>
              <w:t>SUBJECT</w:t>
            </w:r>
          </w:p>
        </w:tc>
        <w:tc>
          <w:tcPr>
            <w:tcW w:w="1503" w:type="dxa"/>
            <w:gridSpan w:val="2"/>
          </w:tcPr>
          <w:p w14:paraId="66C9A484" w14:textId="77777777" w:rsidR="001C5772" w:rsidRPr="00BE736B" w:rsidRDefault="001C5772" w:rsidP="00BE736B">
            <w:pPr>
              <w:ind w:right="720"/>
              <w:rPr>
                <w:rFonts w:ascii="Calibri" w:hAnsi="Calibri" w:cs="Calibri"/>
                <w:sz w:val="20"/>
                <w:szCs w:val="20"/>
              </w:rPr>
            </w:pPr>
            <w:r w:rsidRPr="00BE736B">
              <w:rPr>
                <w:rFonts w:ascii="Calibri" w:hAnsi="Calibri" w:cs="Calibri"/>
                <w:b/>
                <w:bCs/>
                <w:sz w:val="20"/>
                <w:szCs w:val="20"/>
              </w:rPr>
              <w:t>PAGE NO.</w:t>
            </w:r>
          </w:p>
        </w:tc>
      </w:tr>
      <w:tr w:rsidR="001C5772" w:rsidRPr="00BE736B" w14:paraId="044D520B" w14:textId="77777777" w:rsidTr="005C5B0C">
        <w:trPr>
          <w:trHeight w:val="773"/>
        </w:trPr>
        <w:tc>
          <w:tcPr>
            <w:tcW w:w="2055" w:type="dxa"/>
          </w:tcPr>
          <w:p w14:paraId="4081AE2E" w14:textId="77777777" w:rsidR="001C5772" w:rsidRPr="00BE736B" w:rsidRDefault="001C5772" w:rsidP="00BE736B">
            <w:pPr>
              <w:ind w:right="-30"/>
              <w:rPr>
                <w:rFonts w:ascii="Calibri" w:hAnsi="Calibri" w:cs="Calibri"/>
                <w:sz w:val="20"/>
                <w:szCs w:val="20"/>
              </w:rPr>
            </w:pPr>
            <w:r w:rsidRPr="00BE736B">
              <w:rPr>
                <w:rFonts w:ascii="Calibri" w:hAnsi="Calibri" w:cs="Calibri"/>
                <w:sz w:val="20"/>
                <w:szCs w:val="20"/>
              </w:rPr>
              <w:t>Revenue Memorandum Order No. 47-2020</w:t>
            </w:r>
          </w:p>
        </w:tc>
        <w:tc>
          <w:tcPr>
            <w:tcW w:w="1905" w:type="dxa"/>
            <w:gridSpan w:val="2"/>
          </w:tcPr>
          <w:p w14:paraId="4A03F17A"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December 23, 2020</w:t>
            </w:r>
          </w:p>
        </w:tc>
        <w:tc>
          <w:tcPr>
            <w:tcW w:w="3847" w:type="dxa"/>
            <w:gridSpan w:val="2"/>
          </w:tcPr>
          <w:p w14:paraId="1453BC33"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Consolidated and Updated Guidelines and Procedures on the Processing of Claims for Value-Added Tax Credit/ Refund Except Those Under the Authority and Jurisdiction of the Legal Group</w:t>
            </w:r>
          </w:p>
        </w:tc>
        <w:tc>
          <w:tcPr>
            <w:tcW w:w="1503" w:type="dxa"/>
            <w:gridSpan w:val="2"/>
          </w:tcPr>
          <w:p w14:paraId="6B67B310" w14:textId="77777777" w:rsidR="001C5772" w:rsidRPr="00BE736B" w:rsidRDefault="001C5772" w:rsidP="00BE736B">
            <w:pPr>
              <w:ind w:right="720"/>
              <w:rPr>
                <w:rFonts w:ascii="Calibri" w:hAnsi="Calibri" w:cs="Calibri"/>
                <w:sz w:val="20"/>
                <w:szCs w:val="20"/>
              </w:rPr>
            </w:pPr>
          </w:p>
        </w:tc>
      </w:tr>
      <w:tr w:rsidR="001C5772" w:rsidRPr="00BE736B" w14:paraId="08A392C3" w14:textId="77777777" w:rsidTr="005C5B0C">
        <w:trPr>
          <w:trHeight w:val="773"/>
        </w:trPr>
        <w:tc>
          <w:tcPr>
            <w:tcW w:w="2055" w:type="dxa"/>
          </w:tcPr>
          <w:p w14:paraId="255132C2" w14:textId="77777777" w:rsidR="001C5772" w:rsidRPr="00BE736B" w:rsidRDefault="001C5772" w:rsidP="00BE736B">
            <w:pPr>
              <w:ind w:right="-30"/>
              <w:rPr>
                <w:rFonts w:ascii="Calibri" w:hAnsi="Calibri" w:cs="Calibri"/>
                <w:color w:val="000000" w:themeColor="text1"/>
                <w:sz w:val="20"/>
                <w:szCs w:val="20"/>
              </w:rPr>
            </w:pPr>
            <w:r w:rsidRPr="00BE736B">
              <w:rPr>
                <w:rFonts w:ascii="Calibri" w:hAnsi="Calibri" w:cs="Calibri"/>
                <w:color w:val="000000" w:themeColor="text1"/>
                <w:sz w:val="20"/>
                <w:szCs w:val="20"/>
              </w:rPr>
              <w:t>Revenue Memorandum Order No. 1-2021</w:t>
            </w:r>
          </w:p>
        </w:tc>
        <w:tc>
          <w:tcPr>
            <w:tcW w:w="1905" w:type="dxa"/>
            <w:gridSpan w:val="2"/>
          </w:tcPr>
          <w:p w14:paraId="3715103F" w14:textId="77777777" w:rsidR="001C5772" w:rsidRPr="00BE736B" w:rsidRDefault="001C5772" w:rsidP="00BE736B">
            <w:pPr>
              <w:ind w:right="45"/>
              <w:rPr>
                <w:rFonts w:ascii="Calibri" w:hAnsi="Calibri" w:cs="Calibri"/>
                <w:color w:val="000000" w:themeColor="text1"/>
                <w:sz w:val="20"/>
                <w:szCs w:val="20"/>
              </w:rPr>
            </w:pPr>
            <w:r w:rsidRPr="00BE736B">
              <w:rPr>
                <w:rFonts w:ascii="Calibri" w:hAnsi="Calibri" w:cs="Calibri"/>
                <w:color w:val="000000" w:themeColor="text1"/>
                <w:sz w:val="20"/>
                <w:szCs w:val="20"/>
              </w:rPr>
              <w:t>January 4, 2021</w:t>
            </w:r>
          </w:p>
        </w:tc>
        <w:tc>
          <w:tcPr>
            <w:tcW w:w="3847" w:type="dxa"/>
            <w:gridSpan w:val="2"/>
          </w:tcPr>
          <w:p w14:paraId="3E1D1D93" w14:textId="77777777" w:rsidR="001C5772" w:rsidRPr="00BE736B" w:rsidRDefault="001C5772" w:rsidP="00BE736B">
            <w:pPr>
              <w:ind w:right="60"/>
              <w:rPr>
                <w:rFonts w:ascii="Calibri" w:hAnsi="Calibri" w:cs="Calibri"/>
                <w:color w:val="000000" w:themeColor="text1"/>
                <w:sz w:val="20"/>
                <w:szCs w:val="20"/>
              </w:rPr>
            </w:pPr>
            <w:r w:rsidRPr="00BE736B">
              <w:rPr>
                <w:rFonts w:ascii="Calibri" w:hAnsi="Calibri" w:cs="Calibri"/>
                <w:color w:val="000000" w:themeColor="text1"/>
                <w:sz w:val="20"/>
                <w:szCs w:val="20"/>
              </w:rPr>
              <w:t>Revised Office Audit Threshold for Cases to be Audited/Investigated by the Office Audit Section (OAS) of the Assessment Division in the Regional Offices</w:t>
            </w:r>
          </w:p>
        </w:tc>
        <w:tc>
          <w:tcPr>
            <w:tcW w:w="1503" w:type="dxa"/>
            <w:gridSpan w:val="2"/>
          </w:tcPr>
          <w:p w14:paraId="7E045E53" w14:textId="77777777" w:rsidR="001C5772" w:rsidRPr="00BE736B" w:rsidRDefault="001C5772" w:rsidP="00BE736B">
            <w:pPr>
              <w:ind w:right="720"/>
              <w:rPr>
                <w:rFonts w:ascii="Calibri" w:hAnsi="Calibri" w:cs="Calibri"/>
                <w:sz w:val="20"/>
                <w:szCs w:val="20"/>
              </w:rPr>
            </w:pPr>
          </w:p>
        </w:tc>
      </w:tr>
      <w:tr w:rsidR="001C5772" w:rsidRPr="00BE736B" w14:paraId="4FCEA389" w14:textId="77777777" w:rsidTr="00BE736B">
        <w:trPr>
          <w:trHeight w:val="773"/>
        </w:trPr>
        <w:tc>
          <w:tcPr>
            <w:tcW w:w="9310" w:type="dxa"/>
            <w:gridSpan w:val="7"/>
          </w:tcPr>
          <w:p w14:paraId="0641F904" w14:textId="77777777" w:rsidR="001C5772" w:rsidRPr="00BE736B" w:rsidRDefault="001C5772" w:rsidP="00BE736B">
            <w:pPr>
              <w:ind w:right="720"/>
              <w:jc w:val="center"/>
              <w:rPr>
                <w:rFonts w:ascii="Calibri" w:hAnsi="Calibri" w:cs="Calibri"/>
                <w:b/>
                <w:bCs/>
                <w:sz w:val="20"/>
                <w:szCs w:val="20"/>
              </w:rPr>
            </w:pPr>
          </w:p>
          <w:p w14:paraId="2BFACE72" w14:textId="77777777" w:rsidR="001C5772" w:rsidRPr="00BE736B" w:rsidRDefault="001C5772" w:rsidP="00BE736B">
            <w:pPr>
              <w:ind w:right="720"/>
              <w:jc w:val="center"/>
              <w:rPr>
                <w:rFonts w:ascii="Calibri" w:hAnsi="Calibri" w:cs="Calibri"/>
                <w:b/>
                <w:bCs/>
                <w:sz w:val="20"/>
                <w:szCs w:val="20"/>
              </w:rPr>
            </w:pPr>
            <w:r w:rsidRPr="00BE736B">
              <w:rPr>
                <w:rFonts w:ascii="Calibri" w:hAnsi="Calibri" w:cs="Calibri"/>
                <w:b/>
                <w:bCs/>
                <w:sz w:val="20"/>
                <w:szCs w:val="20"/>
              </w:rPr>
              <w:t>SC Cases</w:t>
            </w:r>
          </w:p>
        </w:tc>
      </w:tr>
      <w:tr w:rsidR="001C5772" w:rsidRPr="00BE736B" w14:paraId="6810B248" w14:textId="77777777" w:rsidTr="005C5B0C">
        <w:trPr>
          <w:trHeight w:val="773"/>
        </w:trPr>
        <w:tc>
          <w:tcPr>
            <w:tcW w:w="2055" w:type="dxa"/>
          </w:tcPr>
          <w:p w14:paraId="45649A7B" w14:textId="77777777" w:rsidR="001C5772" w:rsidRPr="00BE736B" w:rsidRDefault="001C5772" w:rsidP="00BE736B">
            <w:pPr>
              <w:ind w:right="-30"/>
              <w:rPr>
                <w:rFonts w:ascii="Calibri" w:hAnsi="Calibri" w:cs="Calibri"/>
                <w:sz w:val="20"/>
                <w:szCs w:val="20"/>
              </w:rPr>
            </w:pPr>
            <w:r w:rsidRPr="00BE736B">
              <w:rPr>
                <w:rFonts w:ascii="Calibri" w:hAnsi="Calibri" w:cs="Calibri"/>
                <w:b/>
                <w:bCs/>
                <w:sz w:val="20"/>
                <w:szCs w:val="20"/>
              </w:rPr>
              <w:t>ISSUANCE</w:t>
            </w:r>
          </w:p>
        </w:tc>
        <w:tc>
          <w:tcPr>
            <w:tcW w:w="1905" w:type="dxa"/>
            <w:gridSpan w:val="2"/>
          </w:tcPr>
          <w:p w14:paraId="3F87471C" w14:textId="77777777" w:rsidR="001C5772" w:rsidRPr="00BE736B" w:rsidRDefault="001C5772" w:rsidP="00BE736B">
            <w:pPr>
              <w:ind w:right="45"/>
              <w:rPr>
                <w:rFonts w:ascii="Calibri" w:hAnsi="Calibri" w:cs="Calibri"/>
                <w:sz w:val="20"/>
                <w:szCs w:val="20"/>
              </w:rPr>
            </w:pPr>
            <w:r w:rsidRPr="00BE736B">
              <w:rPr>
                <w:rFonts w:ascii="Calibri" w:hAnsi="Calibri" w:cs="Calibri"/>
                <w:b/>
                <w:bCs/>
                <w:sz w:val="20"/>
                <w:szCs w:val="20"/>
              </w:rPr>
              <w:t>DATE ISSUED</w:t>
            </w:r>
          </w:p>
        </w:tc>
        <w:tc>
          <w:tcPr>
            <w:tcW w:w="3847" w:type="dxa"/>
            <w:gridSpan w:val="2"/>
          </w:tcPr>
          <w:p w14:paraId="43BFE2A0" w14:textId="77777777" w:rsidR="001C5772" w:rsidRPr="00BE736B" w:rsidRDefault="001C5772" w:rsidP="00BE736B">
            <w:pPr>
              <w:ind w:right="60"/>
              <w:rPr>
                <w:rFonts w:ascii="Calibri" w:hAnsi="Calibri" w:cs="Calibri"/>
                <w:sz w:val="20"/>
                <w:szCs w:val="20"/>
              </w:rPr>
            </w:pPr>
            <w:r w:rsidRPr="00BE736B">
              <w:rPr>
                <w:rFonts w:ascii="Calibri" w:hAnsi="Calibri" w:cs="Calibri"/>
                <w:b/>
                <w:bCs/>
                <w:sz w:val="20"/>
                <w:szCs w:val="20"/>
              </w:rPr>
              <w:t>SUBJECT</w:t>
            </w:r>
          </w:p>
        </w:tc>
        <w:tc>
          <w:tcPr>
            <w:tcW w:w="1503" w:type="dxa"/>
            <w:gridSpan w:val="2"/>
          </w:tcPr>
          <w:p w14:paraId="3365EBB8" w14:textId="77777777" w:rsidR="001C5772" w:rsidRPr="00BE736B" w:rsidRDefault="001C5772" w:rsidP="00BE736B">
            <w:pPr>
              <w:ind w:right="720"/>
              <w:rPr>
                <w:rFonts w:ascii="Calibri" w:hAnsi="Calibri" w:cs="Calibri"/>
                <w:sz w:val="20"/>
                <w:szCs w:val="20"/>
              </w:rPr>
            </w:pPr>
            <w:r w:rsidRPr="00BE736B">
              <w:rPr>
                <w:rFonts w:ascii="Calibri" w:hAnsi="Calibri" w:cs="Calibri"/>
                <w:b/>
                <w:bCs/>
                <w:sz w:val="20"/>
                <w:szCs w:val="20"/>
              </w:rPr>
              <w:t>PAGE NO.</w:t>
            </w:r>
          </w:p>
        </w:tc>
      </w:tr>
      <w:tr w:rsidR="001C5772" w:rsidRPr="00BE736B" w14:paraId="4A493805" w14:textId="77777777" w:rsidTr="005C5B0C">
        <w:trPr>
          <w:trHeight w:val="773"/>
        </w:trPr>
        <w:tc>
          <w:tcPr>
            <w:tcW w:w="2055" w:type="dxa"/>
          </w:tcPr>
          <w:p w14:paraId="63945616"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The City of Makati vs. The Municipality of </w:t>
            </w:r>
            <w:proofErr w:type="spellStart"/>
            <w:r w:rsidRPr="00BE736B">
              <w:rPr>
                <w:rFonts w:ascii="Calibri" w:hAnsi="Calibri" w:cs="Calibri"/>
                <w:sz w:val="20"/>
                <w:szCs w:val="20"/>
              </w:rPr>
              <w:t>Bakun</w:t>
            </w:r>
            <w:proofErr w:type="spellEnd"/>
            <w:r w:rsidRPr="00BE736B">
              <w:rPr>
                <w:rFonts w:ascii="Calibri" w:hAnsi="Calibri" w:cs="Calibri"/>
                <w:sz w:val="20"/>
                <w:szCs w:val="20"/>
              </w:rPr>
              <w:t xml:space="preserve"> and Luzon Hydro Corporation</w:t>
            </w:r>
          </w:p>
          <w:p w14:paraId="4CB77357" w14:textId="77777777" w:rsidR="001C5772" w:rsidRPr="00BE736B" w:rsidRDefault="001C5772" w:rsidP="00BE736B">
            <w:pPr>
              <w:ind w:right="-30"/>
              <w:rPr>
                <w:rFonts w:ascii="Calibri" w:hAnsi="Calibri" w:cs="Calibri"/>
                <w:sz w:val="20"/>
                <w:szCs w:val="20"/>
              </w:rPr>
            </w:pPr>
            <w:r w:rsidRPr="00BE736B">
              <w:rPr>
                <w:rFonts w:ascii="Calibri" w:hAnsi="Calibri" w:cs="Calibri"/>
                <w:sz w:val="20"/>
                <w:szCs w:val="20"/>
              </w:rPr>
              <w:t>G.R. No. 225226</w:t>
            </w:r>
          </w:p>
          <w:p w14:paraId="34D0B948" w14:textId="77777777" w:rsidR="001C5772" w:rsidRPr="00BE736B" w:rsidRDefault="001C5772" w:rsidP="00BE736B">
            <w:pPr>
              <w:ind w:right="-30"/>
              <w:rPr>
                <w:rFonts w:ascii="Calibri" w:hAnsi="Calibri" w:cs="Calibri"/>
                <w:sz w:val="20"/>
                <w:szCs w:val="20"/>
              </w:rPr>
            </w:pPr>
          </w:p>
        </w:tc>
        <w:tc>
          <w:tcPr>
            <w:tcW w:w="1905" w:type="dxa"/>
            <w:gridSpan w:val="2"/>
          </w:tcPr>
          <w:p w14:paraId="4660CF7B"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July 7, 2020</w:t>
            </w:r>
          </w:p>
        </w:tc>
        <w:tc>
          <w:tcPr>
            <w:tcW w:w="3847" w:type="dxa"/>
            <w:gridSpan w:val="2"/>
          </w:tcPr>
          <w:p w14:paraId="0B0470BD"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Local Business Tax</w:t>
            </w:r>
          </w:p>
          <w:p w14:paraId="4465A7F9" w14:textId="77777777" w:rsidR="001C5772" w:rsidRPr="00BE736B" w:rsidRDefault="001C5772" w:rsidP="00BE736B">
            <w:pPr>
              <w:ind w:right="60"/>
              <w:rPr>
                <w:rFonts w:ascii="Calibri" w:hAnsi="Calibri" w:cs="Calibri"/>
                <w:sz w:val="20"/>
                <w:szCs w:val="20"/>
              </w:rPr>
            </w:pPr>
          </w:p>
        </w:tc>
        <w:tc>
          <w:tcPr>
            <w:tcW w:w="1503" w:type="dxa"/>
            <w:gridSpan w:val="2"/>
          </w:tcPr>
          <w:p w14:paraId="0AE9E6D5" w14:textId="77777777" w:rsidR="001C5772" w:rsidRPr="00BE736B" w:rsidRDefault="001C5772" w:rsidP="00BE736B">
            <w:pPr>
              <w:ind w:right="720"/>
              <w:rPr>
                <w:rFonts w:ascii="Calibri" w:hAnsi="Calibri" w:cs="Calibri"/>
                <w:b/>
                <w:bCs/>
                <w:sz w:val="20"/>
                <w:szCs w:val="20"/>
              </w:rPr>
            </w:pPr>
          </w:p>
        </w:tc>
      </w:tr>
      <w:tr w:rsidR="001C5772" w:rsidRPr="00BE736B" w14:paraId="44A9C4A7" w14:textId="77777777" w:rsidTr="005C5B0C">
        <w:trPr>
          <w:trHeight w:val="773"/>
        </w:trPr>
        <w:tc>
          <w:tcPr>
            <w:tcW w:w="2055" w:type="dxa"/>
          </w:tcPr>
          <w:p w14:paraId="75F6EBF5"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Commissioner of Internal Revenue vs. Federation of Golf </w:t>
            </w:r>
            <w:r w:rsidRPr="00BE736B">
              <w:rPr>
                <w:rFonts w:ascii="Calibri" w:hAnsi="Calibri" w:cs="Calibri"/>
                <w:sz w:val="20"/>
                <w:szCs w:val="20"/>
              </w:rPr>
              <w:lastRenderedPageBreak/>
              <w:t>Clubs of the Philippines, Inc.</w:t>
            </w:r>
          </w:p>
          <w:p w14:paraId="1CC71589"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Supreme Court (First Division) G.R. No. 226449</w:t>
            </w:r>
          </w:p>
          <w:p w14:paraId="1C91E23E" w14:textId="77777777" w:rsidR="001C5772" w:rsidRPr="00BE736B" w:rsidRDefault="001C5772" w:rsidP="00BE736B">
            <w:pPr>
              <w:ind w:right="-30"/>
              <w:rPr>
                <w:rFonts w:ascii="Calibri" w:hAnsi="Calibri" w:cs="Calibri"/>
                <w:sz w:val="20"/>
                <w:szCs w:val="20"/>
              </w:rPr>
            </w:pPr>
          </w:p>
        </w:tc>
        <w:tc>
          <w:tcPr>
            <w:tcW w:w="1905" w:type="dxa"/>
            <w:gridSpan w:val="2"/>
          </w:tcPr>
          <w:p w14:paraId="23A12437" w14:textId="77777777" w:rsidR="001C5772" w:rsidRPr="00BE736B" w:rsidRDefault="001C5772" w:rsidP="00BE736B">
            <w:pPr>
              <w:ind w:right="45"/>
              <w:rPr>
                <w:rFonts w:ascii="Calibri" w:hAnsi="Calibri" w:cs="Calibri"/>
                <w:sz w:val="20"/>
                <w:szCs w:val="20"/>
              </w:rPr>
            </w:pPr>
            <w:r>
              <w:rPr>
                <w:rFonts w:ascii="Calibri" w:hAnsi="Calibri" w:cs="Calibri"/>
                <w:sz w:val="20"/>
                <w:szCs w:val="20"/>
              </w:rPr>
              <w:lastRenderedPageBreak/>
              <w:t>July 28, 2020</w:t>
            </w:r>
          </w:p>
        </w:tc>
        <w:tc>
          <w:tcPr>
            <w:tcW w:w="3847" w:type="dxa"/>
            <w:gridSpan w:val="2"/>
          </w:tcPr>
          <w:p w14:paraId="77F71497"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VAT on Membership fees</w:t>
            </w:r>
          </w:p>
        </w:tc>
        <w:tc>
          <w:tcPr>
            <w:tcW w:w="1503" w:type="dxa"/>
            <w:gridSpan w:val="2"/>
          </w:tcPr>
          <w:p w14:paraId="5CDDD10D" w14:textId="77777777" w:rsidR="001C5772" w:rsidRPr="00BE736B" w:rsidRDefault="001C5772" w:rsidP="00BE736B">
            <w:pPr>
              <w:ind w:right="720"/>
              <w:rPr>
                <w:rFonts w:ascii="Calibri" w:hAnsi="Calibri" w:cs="Calibri"/>
                <w:b/>
                <w:bCs/>
                <w:sz w:val="20"/>
                <w:szCs w:val="20"/>
              </w:rPr>
            </w:pPr>
          </w:p>
        </w:tc>
      </w:tr>
      <w:tr w:rsidR="001C5772" w:rsidRPr="00BE736B" w14:paraId="103BC6C2" w14:textId="77777777" w:rsidTr="00BE736B">
        <w:trPr>
          <w:trHeight w:val="318"/>
        </w:trPr>
        <w:tc>
          <w:tcPr>
            <w:tcW w:w="9310" w:type="dxa"/>
            <w:gridSpan w:val="7"/>
          </w:tcPr>
          <w:p w14:paraId="3FEA07D8" w14:textId="77777777" w:rsidR="001C5772" w:rsidRPr="00BE736B" w:rsidRDefault="001C5772" w:rsidP="00BE736B">
            <w:pPr>
              <w:ind w:right="720"/>
              <w:jc w:val="center"/>
              <w:rPr>
                <w:rFonts w:ascii="Calibri" w:hAnsi="Calibri" w:cs="Calibri"/>
                <w:sz w:val="20"/>
                <w:szCs w:val="20"/>
              </w:rPr>
            </w:pPr>
            <w:r w:rsidRPr="00BE736B">
              <w:rPr>
                <w:rFonts w:ascii="Calibri" w:hAnsi="Calibri" w:cs="Calibri"/>
                <w:b/>
                <w:bCs/>
                <w:sz w:val="20"/>
                <w:szCs w:val="20"/>
              </w:rPr>
              <w:t>CTA Cases</w:t>
            </w:r>
          </w:p>
        </w:tc>
      </w:tr>
      <w:tr w:rsidR="001C5772" w:rsidRPr="00BE736B" w14:paraId="192FCED7" w14:textId="77777777" w:rsidTr="005C5B0C">
        <w:trPr>
          <w:trHeight w:val="773"/>
        </w:trPr>
        <w:tc>
          <w:tcPr>
            <w:tcW w:w="2055" w:type="dxa"/>
          </w:tcPr>
          <w:p w14:paraId="6044B96C" w14:textId="77777777" w:rsidR="001C5772" w:rsidRPr="00BE736B" w:rsidRDefault="001C5772" w:rsidP="00BE736B">
            <w:pPr>
              <w:ind w:right="-30"/>
              <w:rPr>
                <w:rFonts w:ascii="Calibri" w:hAnsi="Calibri" w:cs="Calibri"/>
                <w:sz w:val="20"/>
                <w:szCs w:val="20"/>
              </w:rPr>
            </w:pPr>
            <w:r w:rsidRPr="00BE736B">
              <w:rPr>
                <w:rFonts w:ascii="Calibri" w:hAnsi="Calibri" w:cs="Calibri"/>
                <w:b/>
                <w:bCs/>
                <w:sz w:val="20"/>
                <w:szCs w:val="20"/>
              </w:rPr>
              <w:t>ISSUANCE</w:t>
            </w:r>
          </w:p>
        </w:tc>
        <w:tc>
          <w:tcPr>
            <w:tcW w:w="1905" w:type="dxa"/>
            <w:gridSpan w:val="2"/>
          </w:tcPr>
          <w:p w14:paraId="478A3FDF" w14:textId="77777777" w:rsidR="001C5772" w:rsidRPr="00BE736B" w:rsidRDefault="001C5772" w:rsidP="00BE736B">
            <w:pPr>
              <w:ind w:right="45"/>
              <w:rPr>
                <w:rFonts w:ascii="Calibri" w:hAnsi="Calibri" w:cs="Calibri"/>
                <w:sz w:val="20"/>
                <w:szCs w:val="20"/>
              </w:rPr>
            </w:pPr>
            <w:r w:rsidRPr="00BE736B">
              <w:rPr>
                <w:rFonts w:ascii="Calibri" w:hAnsi="Calibri" w:cs="Calibri"/>
                <w:b/>
                <w:bCs/>
                <w:sz w:val="20"/>
                <w:szCs w:val="20"/>
              </w:rPr>
              <w:t>DATE ISSUED</w:t>
            </w:r>
          </w:p>
        </w:tc>
        <w:tc>
          <w:tcPr>
            <w:tcW w:w="3847" w:type="dxa"/>
            <w:gridSpan w:val="2"/>
          </w:tcPr>
          <w:p w14:paraId="1DC12D79" w14:textId="77777777" w:rsidR="001C5772" w:rsidRPr="00BE736B" w:rsidRDefault="001C5772" w:rsidP="00BE736B">
            <w:pPr>
              <w:ind w:right="60"/>
              <w:rPr>
                <w:rFonts w:ascii="Calibri" w:hAnsi="Calibri" w:cs="Calibri"/>
                <w:sz w:val="20"/>
                <w:szCs w:val="20"/>
              </w:rPr>
            </w:pPr>
            <w:r w:rsidRPr="00BE736B">
              <w:rPr>
                <w:rFonts w:ascii="Calibri" w:hAnsi="Calibri" w:cs="Calibri"/>
                <w:b/>
                <w:bCs/>
                <w:sz w:val="20"/>
                <w:szCs w:val="20"/>
              </w:rPr>
              <w:t>SUBJECT</w:t>
            </w:r>
          </w:p>
        </w:tc>
        <w:tc>
          <w:tcPr>
            <w:tcW w:w="1503" w:type="dxa"/>
            <w:gridSpan w:val="2"/>
          </w:tcPr>
          <w:p w14:paraId="16FA3E2C" w14:textId="77777777" w:rsidR="001C5772" w:rsidRPr="00BE736B" w:rsidRDefault="001C5772" w:rsidP="00BE736B">
            <w:pPr>
              <w:ind w:right="720"/>
              <w:rPr>
                <w:rFonts w:ascii="Calibri" w:hAnsi="Calibri" w:cs="Calibri"/>
                <w:sz w:val="20"/>
                <w:szCs w:val="20"/>
              </w:rPr>
            </w:pPr>
            <w:r w:rsidRPr="00BE736B">
              <w:rPr>
                <w:rFonts w:ascii="Calibri" w:hAnsi="Calibri" w:cs="Calibri"/>
                <w:b/>
                <w:bCs/>
                <w:sz w:val="20"/>
                <w:szCs w:val="20"/>
              </w:rPr>
              <w:t>PAGE NO.</w:t>
            </w:r>
          </w:p>
        </w:tc>
      </w:tr>
      <w:tr w:rsidR="001C5772" w:rsidRPr="00BE736B" w14:paraId="6BCC7C3A" w14:textId="77777777" w:rsidTr="005C5B0C">
        <w:trPr>
          <w:trHeight w:val="773"/>
        </w:trPr>
        <w:tc>
          <w:tcPr>
            <w:tcW w:w="2055" w:type="dxa"/>
          </w:tcPr>
          <w:p w14:paraId="5A1ED210" w14:textId="77777777" w:rsidR="001C5772" w:rsidRPr="00BE736B" w:rsidRDefault="001C5772" w:rsidP="00BE736B">
            <w:pPr>
              <w:widowControl w:val="0"/>
              <w:rPr>
                <w:rFonts w:ascii="Calibri" w:hAnsi="Calibri" w:cs="Calibri"/>
                <w:sz w:val="20"/>
                <w:szCs w:val="20"/>
              </w:rPr>
            </w:pPr>
            <w:r w:rsidRPr="00BE736B">
              <w:rPr>
                <w:rFonts w:ascii="Calibri" w:hAnsi="Calibri" w:cs="Calibri"/>
                <w:sz w:val="20"/>
                <w:szCs w:val="20"/>
              </w:rPr>
              <w:t>Classic Fine Foods Philippines, Inc. vs. Commissioner of Internal Revenue</w:t>
            </w:r>
          </w:p>
          <w:p w14:paraId="6B6DA659" w14:textId="77777777" w:rsidR="001C5772" w:rsidRPr="00BE736B" w:rsidRDefault="001C5772" w:rsidP="00BE736B">
            <w:pPr>
              <w:widowControl w:val="0"/>
              <w:rPr>
                <w:rFonts w:ascii="Calibri" w:hAnsi="Calibri" w:cs="Calibri"/>
                <w:sz w:val="20"/>
                <w:szCs w:val="20"/>
              </w:rPr>
            </w:pPr>
            <w:r w:rsidRPr="00BE736B">
              <w:rPr>
                <w:rFonts w:ascii="Calibri" w:hAnsi="Calibri" w:cs="Calibri"/>
                <w:sz w:val="20"/>
                <w:szCs w:val="20"/>
              </w:rPr>
              <w:t xml:space="preserve">CTA Case No. 9391 </w:t>
            </w:r>
          </w:p>
          <w:p w14:paraId="68938BCE" w14:textId="77777777" w:rsidR="001C5772" w:rsidRPr="00BE736B" w:rsidRDefault="001C5772" w:rsidP="00BE736B">
            <w:pPr>
              <w:widowControl w:val="0"/>
              <w:rPr>
                <w:rFonts w:ascii="Calibri" w:hAnsi="Calibri" w:cs="Calibri"/>
                <w:sz w:val="20"/>
                <w:szCs w:val="20"/>
              </w:rPr>
            </w:pPr>
          </w:p>
        </w:tc>
        <w:tc>
          <w:tcPr>
            <w:tcW w:w="1905" w:type="dxa"/>
            <w:gridSpan w:val="2"/>
          </w:tcPr>
          <w:p w14:paraId="7F675831" w14:textId="77777777" w:rsidR="001C5772" w:rsidRPr="00BE736B" w:rsidRDefault="001C5772" w:rsidP="00BE736B">
            <w:pPr>
              <w:widowControl w:val="0"/>
              <w:rPr>
                <w:rFonts w:ascii="Calibri" w:hAnsi="Calibri" w:cs="Calibri"/>
                <w:sz w:val="20"/>
                <w:szCs w:val="20"/>
              </w:rPr>
            </w:pPr>
            <w:r w:rsidRPr="00BE736B">
              <w:rPr>
                <w:rFonts w:ascii="Calibri" w:hAnsi="Calibri" w:cs="Calibri"/>
                <w:sz w:val="20"/>
                <w:szCs w:val="20"/>
              </w:rPr>
              <w:t>December</w:t>
            </w:r>
            <w:r>
              <w:rPr>
                <w:rFonts w:ascii="Calibri" w:hAnsi="Calibri" w:cs="Calibri"/>
                <w:sz w:val="20"/>
                <w:szCs w:val="20"/>
              </w:rPr>
              <w:t xml:space="preserve"> 17,</w:t>
            </w:r>
            <w:r w:rsidRPr="00BE736B">
              <w:rPr>
                <w:rFonts w:ascii="Calibri" w:hAnsi="Calibri" w:cs="Calibri"/>
                <w:sz w:val="20"/>
                <w:szCs w:val="20"/>
              </w:rPr>
              <w:t xml:space="preserve"> 2020</w:t>
            </w:r>
          </w:p>
          <w:p w14:paraId="3AAF4165" w14:textId="77777777" w:rsidR="001C5772" w:rsidRPr="00BE736B" w:rsidRDefault="001C5772" w:rsidP="00BE736B">
            <w:pPr>
              <w:ind w:right="45"/>
              <w:rPr>
                <w:rFonts w:ascii="Calibri" w:hAnsi="Calibri" w:cs="Calibri"/>
                <w:sz w:val="20"/>
                <w:szCs w:val="20"/>
              </w:rPr>
            </w:pPr>
          </w:p>
        </w:tc>
        <w:tc>
          <w:tcPr>
            <w:tcW w:w="3847" w:type="dxa"/>
            <w:gridSpan w:val="2"/>
          </w:tcPr>
          <w:p w14:paraId="706C8140"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Deductions</w:t>
            </w:r>
          </w:p>
        </w:tc>
        <w:tc>
          <w:tcPr>
            <w:tcW w:w="1503" w:type="dxa"/>
            <w:gridSpan w:val="2"/>
          </w:tcPr>
          <w:p w14:paraId="0DA771FC" w14:textId="77777777" w:rsidR="001C5772" w:rsidRPr="00BE736B" w:rsidRDefault="001C5772" w:rsidP="00BE736B">
            <w:pPr>
              <w:ind w:right="720"/>
              <w:rPr>
                <w:rFonts w:ascii="Calibri" w:hAnsi="Calibri" w:cs="Calibri"/>
                <w:sz w:val="20"/>
                <w:szCs w:val="20"/>
              </w:rPr>
            </w:pPr>
          </w:p>
        </w:tc>
      </w:tr>
      <w:tr w:rsidR="001C5772" w:rsidRPr="00BE736B" w14:paraId="7CDD51BB" w14:textId="77777777" w:rsidTr="005C5B0C">
        <w:trPr>
          <w:trHeight w:val="773"/>
        </w:trPr>
        <w:tc>
          <w:tcPr>
            <w:tcW w:w="2055" w:type="dxa"/>
          </w:tcPr>
          <w:p w14:paraId="1EC6B94E"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Service Resources, Inc. vs. Commissioner of Internal Revenue</w:t>
            </w:r>
          </w:p>
          <w:p w14:paraId="48BF9F1B"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CTA No. 9978 </w:t>
            </w:r>
          </w:p>
          <w:p w14:paraId="7A47AA5E" w14:textId="77777777" w:rsidR="001C5772" w:rsidRPr="00BE736B" w:rsidRDefault="001C5772" w:rsidP="00BE736B">
            <w:pPr>
              <w:rPr>
                <w:rFonts w:ascii="Calibri" w:hAnsi="Calibri" w:cs="Calibri"/>
                <w:sz w:val="20"/>
                <w:szCs w:val="20"/>
              </w:rPr>
            </w:pPr>
          </w:p>
        </w:tc>
        <w:tc>
          <w:tcPr>
            <w:tcW w:w="1905" w:type="dxa"/>
            <w:gridSpan w:val="2"/>
          </w:tcPr>
          <w:p w14:paraId="2A5FD701"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 January</w:t>
            </w:r>
            <w:r>
              <w:rPr>
                <w:rFonts w:ascii="Calibri" w:hAnsi="Calibri" w:cs="Calibri"/>
                <w:sz w:val="20"/>
                <w:szCs w:val="20"/>
              </w:rPr>
              <w:t xml:space="preserve"> 4,</w:t>
            </w:r>
            <w:r w:rsidRPr="00BE736B">
              <w:rPr>
                <w:rFonts w:ascii="Calibri" w:hAnsi="Calibri" w:cs="Calibri"/>
                <w:sz w:val="20"/>
                <w:szCs w:val="20"/>
              </w:rPr>
              <w:t xml:space="preserve"> 2021</w:t>
            </w:r>
          </w:p>
          <w:p w14:paraId="39C808C5" w14:textId="77777777" w:rsidR="001C5772" w:rsidRPr="00BE736B" w:rsidRDefault="001C5772" w:rsidP="00BE736B">
            <w:pPr>
              <w:ind w:right="45"/>
              <w:rPr>
                <w:rFonts w:ascii="Calibri" w:hAnsi="Calibri" w:cs="Calibri"/>
                <w:sz w:val="20"/>
                <w:szCs w:val="20"/>
              </w:rPr>
            </w:pPr>
          </w:p>
        </w:tc>
        <w:tc>
          <w:tcPr>
            <w:tcW w:w="3847" w:type="dxa"/>
            <w:gridSpan w:val="2"/>
          </w:tcPr>
          <w:p w14:paraId="4A054B60"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TCC/Refund</w:t>
            </w:r>
          </w:p>
        </w:tc>
        <w:tc>
          <w:tcPr>
            <w:tcW w:w="1503" w:type="dxa"/>
            <w:gridSpan w:val="2"/>
          </w:tcPr>
          <w:p w14:paraId="48298B99" w14:textId="77777777" w:rsidR="001C5772" w:rsidRPr="00BE736B" w:rsidRDefault="001C5772" w:rsidP="00BE736B">
            <w:pPr>
              <w:ind w:right="720"/>
              <w:rPr>
                <w:rFonts w:ascii="Calibri" w:hAnsi="Calibri" w:cs="Calibri"/>
                <w:sz w:val="20"/>
                <w:szCs w:val="20"/>
              </w:rPr>
            </w:pPr>
          </w:p>
        </w:tc>
      </w:tr>
      <w:tr w:rsidR="001C5772" w:rsidRPr="00BE736B" w14:paraId="4B9C69F5" w14:textId="77777777" w:rsidTr="005C5B0C">
        <w:trPr>
          <w:trHeight w:val="773"/>
        </w:trPr>
        <w:tc>
          <w:tcPr>
            <w:tcW w:w="2055" w:type="dxa"/>
          </w:tcPr>
          <w:p w14:paraId="51957B61" w14:textId="77777777" w:rsidR="001C5772" w:rsidRPr="00BE736B" w:rsidRDefault="001C5772" w:rsidP="00BE736B">
            <w:pPr>
              <w:pStyle w:val="NoSpacing"/>
              <w:rPr>
                <w:rFonts w:ascii="Calibri" w:hAnsi="Calibri" w:cs="Calibri"/>
                <w:sz w:val="20"/>
                <w:szCs w:val="20"/>
              </w:rPr>
            </w:pPr>
          </w:p>
          <w:p w14:paraId="6EAB093C" w14:textId="77777777" w:rsidR="001C5772" w:rsidRPr="00BE736B" w:rsidRDefault="001C5772" w:rsidP="00BE736B">
            <w:pPr>
              <w:pStyle w:val="NoSpacing"/>
              <w:rPr>
                <w:rFonts w:ascii="Calibri" w:hAnsi="Calibri" w:cs="Calibri"/>
                <w:sz w:val="20"/>
                <w:szCs w:val="20"/>
              </w:rPr>
            </w:pPr>
            <w:r w:rsidRPr="00BE736B">
              <w:rPr>
                <w:rFonts w:ascii="Calibri" w:hAnsi="Calibri" w:cs="Calibri"/>
                <w:sz w:val="20"/>
                <w:szCs w:val="20"/>
              </w:rPr>
              <w:t>Linde Philippines Inc. vs. Commissioner of Internal Revenue</w:t>
            </w:r>
          </w:p>
          <w:p w14:paraId="328E2A33" w14:textId="77777777" w:rsidR="001C5772" w:rsidRPr="00BE736B" w:rsidRDefault="001C5772" w:rsidP="00BE736B">
            <w:pPr>
              <w:pStyle w:val="NoSpacing"/>
              <w:rPr>
                <w:rFonts w:ascii="Calibri" w:hAnsi="Calibri" w:cs="Calibri"/>
                <w:sz w:val="20"/>
                <w:szCs w:val="20"/>
              </w:rPr>
            </w:pPr>
            <w:r w:rsidRPr="00BE736B">
              <w:rPr>
                <w:rFonts w:ascii="Calibri" w:hAnsi="Calibri" w:cs="Calibri"/>
                <w:sz w:val="20"/>
                <w:szCs w:val="20"/>
              </w:rPr>
              <w:t xml:space="preserve">CTA </w:t>
            </w:r>
            <w:proofErr w:type="spellStart"/>
            <w:r w:rsidRPr="00BE736B">
              <w:rPr>
                <w:rFonts w:ascii="Calibri" w:hAnsi="Calibri" w:cs="Calibri"/>
                <w:sz w:val="20"/>
                <w:szCs w:val="20"/>
              </w:rPr>
              <w:t>En</w:t>
            </w:r>
            <w:proofErr w:type="spellEnd"/>
            <w:r w:rsidRPr="00BE736B">
              <w:rPr>
                <w:rFonts w:ascii="Calibri" w:hAnsi="Calibri" w:cs="Calibri"/>
                <w:sz w:val="20"/>
                <w:szCs w:val="20"/>
              </w:rPr>
              <w:t xml:space="preserve"> Banc No. 2194 </w:t>
            </w:r>
          </w:p>
          <w:p w14:paraId="12F5B37B" w14:textId="77777777" w:rsidR="001C5772" w:rsidRPr="00BE736B" w:rsidRDefault="001C5772" w:rsidP="00BE736B">
            <w:pPr>
              <w:pStyle w:val="NoSpacing"/>
              <w:rPr>
                <w:rFonts w:ascii="Calibri" w:hAnsi="Calibri" w:cs="Calibri"/>
                <w:sz w:val="20"/>
                <w:szCs w:val="20"/>
              </w:rPr>
            </w:pPr>
          </w:p>
        </w:tc>
        <w:tc>
          <w:tcPr>
            <w:tcW w:w="1905" w:type="dxa"/>
            <w:gridSpan w:val="2"/>
          </w:tcPr>
          <w:p w14:paraId="76F33E10" w14:textId="77777777" w:rsidR="001C5772" w:rsidRPr="00BE736B" w:rsidRDefault="001C5772" w:rsidP="00BE736B">
            <w:pPr>
              <w:pStyle w:val="NoSpacing"/>
              <w:rPr>
                <w:rFonts w:ascii="Calibri" w:hAnsi="Calibri" w:cs="Calibri"/>
                <w:sz w:val="20"/>
                <w:szCs w:val="20"/>
              </w:rPr>
            </w:pPr>
            <w:r w:rsidRPr="00BE736B">
              <w:rPr>
                <w:rFonts w:ascii="Calibri" w:hAnsi="Calibri" w:cs="Calibri"/>
                <w:sz w:val="20"/>
                <w:szCs w:val="20"/>
              </w:rPr>
              <w:t xml:space="preserve"> January</w:t>
            </w:r>
            <w:r>
              <w:rPr>
                <w:rFonts w:ascii="Calibri" w:hAnsi="Calibri" w:cs="Calibri"/>
                <w:sz w:val="20"/>
                <w:szCs w:val="20"/>
              </w:rPr>
              <w:t xml:space="preserve"> 5,</w:t>
            </w:r>
            <w:r w:rsidRPr="00BE736B">
              <w:rPr>
                <w:rFonts w:ascii="Calibri" w:hAnsi="Calibri" w:cs="Calibri"/>
                <w:sz w:val="20"/>
                <w:szCs w:val="20"/>
              </w:rPr>
              <w:t xml:space="preserve"> 2021</w:t>
            </w:r>
          </w:p>
          <w:p w14:paraId="6CA0D77B" w14:textId="77777777" w:rsidR="001C5772" w:rsidRPr="00BE736B" w:rsidRDefault="001C5772" w:rsidP="00BE736B">
            <w:pPr>
              <w:ind w:right="45"/>
              <w:rPr>
                <w:rFonts w:ascii="Calibri" w:hAnsi="Calibri" w:cs="Calibri"/>
                <w:sz w:val="20"/>
                <w:szCs w:val="20"/>
              </w:rPr>
            </w:pPr>
          </w:p>
        </w:tc>
        <w:tc>
          <w:tcPr>
            <w:tcW w:w="3847" w:type="dxa"/>
            <w:gridSpan w:val="2"/>
          </w:tcPr>
          <w:p w14:paraId="71778AA2"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Tax Audit</w:t>
            </w:r>
          </w:p>
        </w:tc>
        <w:tc>
          <w:tcPr>
            <w:tcW w:w="1503" w:type="dxa"/>
            <w:gridSpan w:val="2"/>
          </w:tcPr>
          <w:p w14:paraId="120E59EC" w14:textId="77777777" w:rsidR="001C5772" w:rsidRPr="00BE736B" w:rsidRDefault="001C5772" w:rsidP="00BE736B">
            <w:pPr>
              <w:ind w:right="720"/>
              <w:rPr>
                <w:rFonts w:ascii="Calibri" w:hAnsi="Calibri" w:cs="Calibri"/>
                <w:sz w:val="20"/>
                <w:szCs w:val="20"/>
              </w:rPr>
            </w:pPr>
          </w:p>
        </w:tc>
      </w:tr>
      <w:tr w:rsidR="001C5772" w:rsidRPr="00BE736B" w14:paraId="49DBCE7B" w14:textId="77777777" w:rsidTr="005C5B0C">
        <w:trPr>
          <w:trHeight w:val="773"/>
        </w:trPr>
        <w:tc>
          <w:tcPr>
            <w:tcW w:w="2055" w:type="dxa"/>
          </w:tcPr>
          <w:p w14:paraId="4A99B0D3"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Dizon Farms Produce, Inc. vs. Commissioner of Internal Revenue</w:t>
            </w:r>
          </w:p>
          <w:p w14:paraId="052159CF"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CTA Case No. 9711 </w:t>
            </w:r>
          </w:p>
          <w:p w14:paraId="6B7F14CA" w14:textId="77777777" w:rsidR="001C5772" w:rsidRPr="00BE736B" w:rsidRDefault="001C5772" w:rsidP="00BE736B">
            <w:pPr>
              <w:pStyle w:val="NoSpacing"/>
              <w:rPr>
                <w:rFonts w:ascii="Calibri" w:hAnsi="Calibri" w:cs="Calibri"/>
                <w:sz w:val="20"/>
                <w:szCs w:val="20"/>
              </w:rPr>
            </w:pPr>
          </w:p>
        </w:tc>
        <w:tc>
          <w:tcPr>
            <w:tcW w:w="1905" w:type="dxa"/>
            <w:gridSpan w:val="2"/>
          </w:tcPr>
          <w:p w14:paraId="054D8B3D"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 January</w:t>
            </w:r>
            <w:r>
              <w:rPr>
                <w:rFonts w:ascii="Calibri" w:hAnsi="Calibri" w:cs="Calibri"/>
                <w:sz w:val="20"/>
                <w:szCs w:val="20"/>
              </w:rPr>
              <w:t xml:space="preserve"> 5,</w:t>
            </w:r>
            <w:r w:rsidRPr="00BE736B">
              <w:rPr>
                <w:rFonts w:ascii="Calibri" w:hAnsi="Calibri" w:cs="Calibri"/>
                <w:sz w:val="20"/>
                <w:szCs w:val="20"/>
              </w:rPr>
              <w:t xml:space="preserve"> 2021</w:t>
            </w:r>
          </w:p>
          <w:p w14:paraId="0AE34E66" w14:textId="77777777" w:rsidR="001C5772" w:rsidRPr="00BE736B" w:rsidRDefault="001C5772" w:rsidP="00BE736B">
            <w:pPr>
              <w:pStyle w:val="NoSpacing"/>
              <w:rPr>
                <w:rFonts w:ascii="Calibri" w:hAnsi="Calibri" w:cs="Calibri"/>
                <w:sz w:val="20"/>
                <w:szCs w:val="20"/>
              </w:rPr>
            </w:pPr>
          </w:p>
        </w:tc>
        <w:tc>
          <w:tcPr>
            <w:tcW w:w="3847" w:type="dxa"/>
            <w:gridSpan w:val="2"/>
          </w:tcPr>
          <w:p w14:paraId="4D434B1D"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Tax Audit</w:t>
            </w:r>
          </w:p>
        </w:tc>
        <w:tc>
          <w:tcPr>
            <w:tcW w:w="1503" w:type="dxa"/>
            <w:gridSpan w:val="2"/>
          </w:tcPr>
          <w:p w14:paraId="29A569E2" w14:textId="77777777" w:rsidR="001C5772" w:rsidRPr="00BE736B" w:rsidRDefault="001C5772" w:rsidP="00BE736B">
            <w:pPr>
              <w:ind w:right="720"/>
              <w:rPr>
                <w:rFonts w:ascii="Calibri" w:hAnsi="Calibri" w:cs="Calibri"/>
                <w:sz w:val="20"/>
                <w:szCs w:val="20"/>
              </w:rPr>
            </w:pPr>
          </w:p>
        </w:tc>
      </w:tr>
      <w:tr w:rsidR="001C5772" w:rsidRPr="00BE736B" w14:paraId="0B1A3129" w14:textId="77777777" w:rsidTr="005C5B0C">
        <w:trPr>
          <w:trHeight w:val="773"/>
        </w:trPr>
        <w:tc>
          <w:tcPr>
            <w:tcW w:w="2055" w:type="dxa"/>
          </w:tcPr>
          <w:p w14:paraId="108D1430" w14:textId="77777777" w:rsidR="001C5772" w:rsidRPr="00BE736B" w:rsidRDefault="001C5772" w:rsidP="00BE736B">
            <w:pPr>
              <w:rPr>
                <w:rFonts w:ascii="Calibri" w:eastAsia="Times New Roman" w:hAnsi="Calibri" w:cs="Calibri"/>
                <w:color w:val="000000"/>
                <w:sz w:val="20"/>
                <w:szCs w:val="20"/>
              </w:rPr>
            </w:pPr>
            <w:proofErr w:type="spellStart"/>
            <w:r w:rsidRPr="00BE736B">
              <w:rPr>
                <w:rFonts w:ascii="Calibri" w:eastAsia="Times New Roman" w:hAnsi="Calibri" w:cs="Calibri"/>
                <w:color w:val="000000"/>
                <w:sz w:val="20"/>
                <w:szCs w:val="20"/>
              </w:rPr>
              <w:t>Philex</w:t>
            </w:r>
            <w:proofErr w:type="spellEnd"/>
            <w:r w:rsidRPr="00BE736B">
              <w:rPr>
                <w:rFonts w:ascii="Calibri" w:eastAsia="Times New Roman" w:hAnsi="Calibri" w:cs="Calibri"/>
                <w:color w:val="000000"/>
                <w:sz w:val="20"/>
                <w:szCs w:val="20"/>
              </w:rPr>
              <w:t xml:space="preserve"> Mining Corporation vs. Commissioner of Internal Revenue </w:t>
            </w:r>
          </w:p>
          <w:p w14:paraId="0F4C1E34"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t xml:space="preserve">CTA Case No. 10037 </w:t>
            </w:r>
          </w:p>
          <w:p w14:paraId="762F5D2C" w14:textId="77777777" w:rsidR="001C5772" w:rsidRPr="00BE736B" w:rsidRDefault="001C5772" w:rsidP="00BE736B">
            <w:pPr>
              <w:rPr>
                <w:rFonts w:ascii="Calibri" w:hAnsi="Calibri" w:cs="Calibri"/>
                <w:sz w:val="20"/>
                <w:szCs w:val="20"/>
              </w:rPr>
            </w:pPr>
          </w:p>
        </w:tc>
        <w:tc>
          <w:tcPr>
            <w:tcW w:w="1905" w:type="dxa"/>
            <w:gridSpan w:val="2"/>
          </w:tcPr>
          <w:p w14:paraId="1216483D"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t>January</w:t>
            </w:r>
            <w:r>
              <w:rPr>
                <w:rFonts w:ascii="Calibri" w:eastAsia="Times New Roman" w:hAnsi="Calibri" w:cs="Calibri"/>
                <w:color w:val="000000"/>
                <w:sz w:val="20"/>
                <w:szCs w:val="20"/>
              </w:rPr>
              <w:t xml:space="preserve"> 5,</w:t>
            </w:r>
            <w:r w:rsidRPr="00BE736B">
              <w:rPr>
                <w:rFonts w:ascii="Calibri" w:eastAsia="Times New Roman" w:hAnsi="Calibri" w:cs="Calibri"/>
                <w:color w:val="000000"/>
                <w:sz w:val="20"/>
                <w:szCs w:val="20"/>
              </w:rPr>
              <w:t xml:space="preserve"> 2021</w:t>
            </w:r>
          </w:p>
          <w:p w14:paraId="7BDE0B52" w14:textId="77777777" w:rsidR="001C5772" w:rsidRPr="00BE736B" w:rsidRDefault="001C5772" w:rsidP="00BE736B">
            <w:pPr>
              <w:rPr>
                <w:rFonts w:ascii="Calibri" w:hAnsi="Calibri" w:cs="Calibri"/>
                <w:sz w:val="20"/>
                <w:szCs w:val="20"/>
              </w:rPr>
            </w:pPr>
          </w:p>
        </w:tc>
        <w:tc>
          <w:tcPr>
            <w:tcW w:w="3847" w:type="dxa"/>
            <w:gridSpan w:val="2"/>
          </w:tcPr>
          <w:p w14:paraId="10654DB7"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VAT</w:t>
            </w:r>
          </w:p>
        </w:tc>
        <w:tc>
          <w:tcPr>
            <w:tcW w:w="1503" w:type="dxa"/>
            <w:gridSpan w:val="2"/>
          </w:tcPr>
          <w:p w14:paraId="196321F3" w14:textId="77777777" w:rsidR="001C5772" w:rsidRPr="00BE736B" w:rsidRDefault="001C5772" w:rsidP="00BE736B">
            <w:pPr>
              <w:ind w:right="720"/>
              <w:rPr>
                <w:rFonts w:ascii="Calibri" w:hAnsi="Calibri" w:cs="Calibri"/>
                <w:sz w:val="20"/>
                <w:szCs w:val="20"/>
              </w:rPr>
            </w:pPr>
          </w:p>
        </w:tc>
      </w:tr>
      <w:tr w:rsidR="001C5772" w:rsidRPr="00BE736B" w14:paraId="10A1D55B" w14:textId="77777777" w:rsidTr="005C5B0C">
        <w:trPr>
          <w:trHeight w:val="773"/>
        </w:trPr>
        <w:tc>
          <w:tcPr>
            <w:tcW w:w="2055" w:type="dxa"/>
          </w:tcPr>
          <w:p w14:paraId="06DCA91F"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t>Level Up, Inc. vs. Commissioner of Internal Revenue</w:t>
            </w:r>
          </w:p>
          <w:p w14:paraId="5A50B8B7"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t xml:space="preserve">CTA </w:t>
            </w:r>
            <w:proofErr w:type="spellStart"/>
            <w:r w:rsidRPr="00BE736B">
              <w:rPr>
                <w:rFonts w:ascii="Calibri" w:eastAsia="Times New Roman" w:hAnsi="Calibri" w:cs="Calibri"/>
                <w:color w:val="000000"/>
                <w:sz w:val="20"/>
                <w:szCs w:val="20"/>
              </w:rPr>
              <w:t>En</w:t>
            </w:r>
            <w:proofErr w:type="spellEnd"/>
            <w:r w:rsidRPr="00BE736B">
              <w:rPr>
                <w:rFonts w:ascii="Calibri" w:eastAsia="Times New Roman" w:hAnsi="Calibri" w:cs="Calibri"/>
                <w:color w:val="000000"/>
                <w:sz w:val="20"/>
                <w:szCs w:val="20"/>
              </w:rPr>
              <w:t xml:space="preserve"> Banc No. 2069 (CTA Case No. 9424) </w:t>
            </w:r>
          </w:p>
          <w:p w14:paraId="65CB35FF" w14:textId="77777777" w:rsidR="001C5772" w:rsidRPr="00BE736B" w:rsidRDefault="001C5772" w:rsidP="00BE736B">
            <w:pPr>
              <w:rPr>
                <w:rFonts w:ascii="Calibri" w:hAnsi="Calibri" w:cs="Calibri"/>
                <w:sz w:val="20"/>
                <w:szCs w:val="20"/>
              </w:rPr>
            </w:pPr>
          </w:p>
        </w:tc>
        <w:tc>
          <w:tcPr>
            <w:tcW w:w="1905" w:type="dxa"/>
            <w:gridSpan w:val="2"/>
          </w:tcPr>
          <w:p w14:paraId="3FE35898"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t xml:space="preserve"> January</w:t>
            </w:r>
            <w:r>
              <w:rPr>
                <w:rFonts w:ascii="Calibri" w:eastAsia="Times New Roman" w:hAnsi="Calibri" w:cs="Calibri"/>
                <w:color w:val="000000"/>
                <w:sz w:val="20"/>
                <w:szCs w:val="20"/>
              </w:rPr>
              <w:t xml:space="preserve"> 6,</w:t>
            </w:r>
            <w:r w:rsidRPr="00BE736B">
              <w:rPr>
                <w:rFonts w:ascii="Calibri" w:eastAsia="Times New Roman" w:hAnsi="Calibri" w:cs="Calibri"/>
                <w:color w:val="000000"/>
                <w:sz w:val="20"/>
                <w:szCs w:val="20"/>
              </w:rPr>
              <w:t xml:space="preserve"> 2021</w:t>
            </w:r>
          </w:p>
          <w:p w14:paraId="0FCA9AB6" w14:textId="77777777" w:rsidR="001C5772" w:rsidRPr="00BE736B" w:rsidRDefault="001C5772" w:rsidP="00BE736B">
            <w:pPr>
              <w:ind w:right="45"/>
              <w:rPr>
                <w:rFonts w:ascii="Calibri" w:hAnsi="Calibri" w:cs="Calibri"/>
                <w:sz w:val="20"/>
                <w:szCs w:val="20"/>
              </w:rPr>
            </w:pPr>
          </w:p>
        </w:tc>
        <w:tc>
          <w:tcPr>
            <w:tcW w:w="3847" w:type="dxa"/>
            <w:gridSpan w:val="2"/>
          </w:tcPr>
          <w:p w14:paraId="6A9DE346"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VAT</w:t>
            </w:r>
          </w:p>
        </w:tc>
        <w:tc>
          <w:tcPr>
            <w:tcW w:w="1503" w:type="dxa"/>
            <w:gridSpan w:val="2"/>
          </w:tcPr>
          <w:p w14:paraId="4624E63F" w14:textId="77777777" w:rsidR="001C5772" w:rsidRPr="00BE736B" w:rsidRDefault="001C5772" w:rsidP="00BE736B">
            <w:pPr>
              <w:ind w:right="720"/>
              <w:rPr>
                <w:rFonts w:ascii="Calibri" w:hAnsi="Calibri" w:cs="Calibri"/>
                <w:sz w:val="20"/>
                <w:szCs w:val="20"/>
              </w:rPr>
            </w:pPr>
          </w:p>
        </w:tc>
      </w:tr>
      <w:tr w:rsidR="001C5772" w:rsidRPr="00BE736B" w14:paraId="5DB185F9" w14:textId="77777777" w:rsidTr="005C5B0C">
        <w:trPr>
          <w:trHeight w:val="773"/>
        </w:trPr>
        <w:tc>
          <w:tcPr>
            <w:tcW w:w="2055" w:type="dxa"/>
          </w:tcPr>
          <w:p w14:paraId="2B82CF10"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People of the Philippines vs. Ulysses </w:t>
            </w:r>
            <w:proofErr w:type="spellStart"/>
            <w:r w:rsidRPr="00BE736B">
              <w:rPr>
                <w:rFonts w:ascii="Calibri" w:hAnsi="Calibri" w:cs="Calibri"/>
                <w:sz w:val="20"/>
                <w:szCs w:val="20"/>
              </w:rPr>
              <w:t>Palconet</w:t>
            </w:r>
            <w:proofErr w:type="spellEnd"/>
            <w:r w:rsidRPr="00BE736B">
              <w:rPr>
                <w:rFonts w:ascii="Calibri" w:hAnsi="Calibri" w:cs="Calibri"/>
                <w:sz w:val="20"/>
                <w:szCs w:val="20"/>
              </w:rPr>
              <w:t xml:space="preserve"> </w:t>
            </w:r>
            <w:proofErr w:type="spellStart"/>
            <w:r w:rsidRPr="00BE736B">
              <w:rPr>
                <w:rFonts w:ascii="Calibri" w:hAnsi="Calibri" w:cs="Calibri"/>
                <w:sz w:val="20"/>
                <w:szCs w:val="20"/>
              </w:rPr>
              <w:t>Consebido</w:t>
            </w:r>
            <w:proofErr w:type="spellEnd"/>
          </w:p>
          <w:p w14:paraId="544E6BD5"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CTA </w:t>
            </w:r>
            <w:proofErr w:type="spellStart"/>
            <w:r w:rsidRPr="00BE736B">
              <w:rPr>
                <w:rFonts w:ascii="Calibri" w:hAnsi="Calibri" w:cs="Calibri"/>
                <w:sz w:val="20"/>
                <w:szCs w:val="20"/>
              </w:rPr>
              <w:t>En</w:t>
            </w:r>
            <w:proofErr w:type="spellEnd"/>
            <w:r w:rsidRPr="00BE736B">
              <w:rPr>
                <w:rFonts w:ascii="Calibri" w:hAnsi="Calibri" w:cs="Calibri"/>
                <w:sz w:val="20"/>
                <w:szCs w:val="20"/>
              </w:rPr>
              <w:t xml:space="preserve"> Banc Criminal Case No. 069 (CTA Criminal Case No. O-701) </w:t>
            </w:r>
          </w:p>
          <w:p w14:paraId="5F8BAE1B" w14:textId="77777777" w:rsidR="001C5772" w:rsidRPr="00BE736B" w:rsidRDefault="001C5772" w:rsidP="00BE736B">
            <w:pPr>
              <w:rPr>
                <w:rFonts w:ascii="Calibri" w:hAnsi="Calibri" w:cs="Calibri"/>
                <w:sz w:val="20"/>
                <w:szCs w:val="20"/>
              </w:rPr>
            </w:pPr>
          </w:p>
          <w:p w14:paraId="0CA338F3" w14:textId="77777777" w:rsidR="001C5772" w:rsidRPr="00BE736B" w:rsidRDefault="001C5772" w:rsidP="00BE736B">
            <w:pPr>
              <w:ind w:right="-30"/>
              <w:rPr>
                <w:rFonts w:ascii="Calibri" w:hAnsi="Calibri" w:cs="Calibri"/>
                <w:sz w:val="20"/>
                <w:szCs w:val="20"/>
              </w:rPr>
            </w:pPr>
          </w:p>
        </w:tc>
        <w:tc>
          <w:tcPr>
            <w:tcW w:w="1905" w:type="dxa"/>
            <w:gridSpan w:val="2"/>
          </w:tcPr>
          <w:p w14:paraId="6CCC6E68"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lastRenderedPageBreak/>
              <w:t xml:space="preserve">January </w:t>
            </w:r>
            <w:r>
              <w:rPr>
                <w:rFonts w:ascii="Calibri" w:hAnsi="Calibri" w:cs="Calibri"/>
                <w:sz w:val="20"/>
                <w:szCs w:val="20"/>
              </w:rPr>
              <w:t xml:space="preserve">6, </w:t>
            </w:r>
            <w:r w:rsidRPr="00BE736B">
              <w:rPr>
                <w:rFonts w:ascii="Calibri" w:hAnsi="Calibri" w:cs="Calibri"/>
                <w:sz w:val="20"/>
                <w:szCs w:val="20"/>
              </w:rPr>
              <w:t>2021</w:t>
            </w:r>
          </w:p>
          <w:p w14:paraId="79B48B75" w14:textId="77777777" w:rsidR="001C5772" w:rsidRPr="00BE736B" w:rsidRDefault="001C5772" w:rsidP="00BE736B">
            <w:pPr>
              <w:ind w:right="45"/>
              <w:rPr>
                <w:rFonts w:ascii="Calibri" w:hAnsi="Calibri" w:cs="Calibri"/>
                <w:sz w:val="20"/>
                <w:szCs w:val="20"/>
              </w:rPr>
            </w:pPr>
          </w:p>
        </w:tc>
        <w:tc>
          <w:tcPr>
            <w:tcW w:w="3847" w:type="dxa"/>
            <w:gridSpan w:val="2"/>
          </w:tcPr>
          <w:p w14:paraId="1E56F520"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Violation of the Tax Code</w:t>
            </w:r>
          </w:p>
        </w:tc>
        <w:tc>
          <w:tcPr>
            <w:tcW w:w="1503" w:type="dxa"/>
            <w:gridSpan w:val="2"/>
          </w:tcPr>
          <w:p w14:paraId="09069C94" w14:textId="77777777" w:rsidR="001C5772" w:rsidRPr="00BE736B" w:rsidRDefault="001C5772" w:rsidP="00BE736B">
            <w:pPr>
              <w:ind w:right="720"/>
              <w:rPr>
                <w:rFonts w:ascii="Calibri" w:hAnsi="Calibri" w:cs="Calibri"/>
                <w:sz w:val="20"/>
                <w:szCs w:val="20"/>
              </w:rPr>
            </w:pPr>
          </w:p>
        </w:tc>
      </w:tr>
      <w:tr w:rsidR="001C5772" w:rsidRPr="00BE736B" w14:paraId="11D47670" w14:textId="77777777" w:rsidTr="005C5B0C">
        <w:trPr>
          <w:trHeight w:val="773"/>
        </w:trPr>
        <w:tc>
          <w:tcPr>
            <w:tcW w:w="2055" w:type="dxa"/>
          </w:tcPr>
          <w:p w14:paraId="7E6D81BD"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The Municipal Treasurer of the Municipality of </w:t>
            </w:r>
            <w:proofErr w:type="spellStart"/>
            <w:r w:rsidRPr="00BE736B">
              <w:rPr>
                <w:rFonts w:ascii="Calibri" w:hAnsi="Calibri" w:cs="Calibri"/>
                <w:sz w:val="20"/>
                <w:szCs w:val="20"/>
              </w:rPr>
              <w:t>Claver</w:t>
            </w:r>
            <w:proofErr w:type="spellEnd"/>
            <w:r w:rsidRPr="00BE736B">
              <w:rPr>
                <w:rFonts w:ascii="Calibri" w:hAnsi="Calibri" w:cs="Calibri"/>
                <w:sz w:val="20"/>
                <w:szCs w:val="20"/>
              </w:rPr>
              <w:t xml:space="preserve"> vs. Platinum Group Metals Corporation</w:t>
            </w:r>
          </w:p>
          <w:p w14:paraId="4A171929"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CTA </w:t>
            </w:r>
            <w:proofErr w:type="spellStart"/>
            <w:r w:rsidRPr="00BE736B">
              <w:rPr>
                <w:rFonts w:ascii="Calibri" w:hAnsi="Calibri" w:cs="Calibri"/>
                <w:sz w:val="20"/>
                <w:szCs w:val="20"/>
              </w:rPr>
              <w:t>En</w:t>
            </w:r>
            <w:proofErr w:type="spellEnd"/>
            <w:r w:rsidRPr="00BE736B">
              <w:rPr>
                <w:rFonts w:ascii="Calibri" w:hAnsi="Calibri" w:cs="Calibri"/>
                <w:sz w:val="20"/>
                <w:szCs w:val="20"/>
              </w:rPr>
              <w:t xml:space="preserve"> Banc No. 2157 (CTA AC No. 182) </w:t>
            </w:r>
          </w:p>
          <w:p w14:paraId="732D0A24" w14:textId="77777777" w:rsidR="001C5772" w:rsidRPr="00BE736B" w:rsidRDefault="001C5772" w:rsidP="00BE736B">
            <w:pPr>
              <w:rPr>
                <w:rFonts w:ascii="Calibri" w:hAnsi="Calibri" w:cs="Calibri"/>
                <w:sz w:val="20"/>
                <w:szCs w:val="20"/>
              </w:rPr>
            </w:pPr>
          </w:p>
        </w:tc>
        <w:tc>
          <w:tcPr>
            <w:tcW w:w="1905" w:type="dxa"/>
            <w:gridSpan w:val="2"/>
          </w:tcPr>
          <w:p w14:paraId="21EAF586"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January </w:t>
            </w:r>
            <w:r>
              <w:rPr>
                <w:rFonts w:ascii="Calibri" w:hAnsi="Calibri" w:cs="Calibri"/>
                <w:sz w:val="20"/>
                <w:szCs w:val="20"/>
              </w:rPr>
              <w:t xml:space="preserve">7, </w:t>
            </w:r>
            <w:r w:rsidRPr="00BE736B">
              <w:rPr>
                <w:rFonts w:ascii="Calibri" w:hAnsi="Calibri" w:cs="Calibri"/>
                <w:sz w:val="20"/>
                <w:szCs w:val="20"/>
              </w:rPr>
              <w:t>2021</w:t>
            </w:r>
          </w:p>
          <w:p w14:paraId="4DD9E5A1" w14:textId="77777777" w:rsidR="001C5772" w:rsidRPr="00BE736B" w:rsidRDefault="001C5772" w:rsidP="00BE736B">
            <w:pPr>
              <w:ind w:right="45"/>
              <w:rPr>
                <w:rFonts w:ascii="Calibri" w:hAnsi="Calibri" w:cs="Calibri"/>
                <w:sz w:val="20"/>
                <w:szCs w:val="20"/>
              </w:rPr>
            </w:pPr>
          </w:p>
        </w:tc>
        <w:tc>
          <w:tcPr>
            <w:tcW w:w="3847" w:type="dxa"/>
            <w:gridSpan w:val="2"/>
          </w:tcPr>
          <w:p w14:paraId="3B4B240F"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Local Business Tax</w:t>
            </w:r>
          </w:p>
        </w:tc>
        <w:tc>
          <w:tcPr>
            <w:tcW w:w="1503" w:type="dxa"/>
            <w:gridSpan w:val="2"/>
          </w:tcPr>
          <w:p w14:paraId="4CB333BB" w14:textId="77777777" w:rsidR="001C5772" w:rsidRPr="00BE736B" w:rsidRDefault="001C5772" w:rsidP="00BE736B">
            <w:pPr>
              <w:ind w:right="720"/>
              <w:rPr>
                <w:rFonts w:ascii="Calibri" w:hAnsi="Calibri" w:cs="Calibri"/>
                <w:sz w:val="20"/>
                <w:szCs w:val="20"/>
              </w:rPr>
            </w:pPr>
          </w:p>
        </w:tc>
      </w:tr>
      <w:tr w:rsidR="001C5772" w:rsidRPr="00BE736B" w14:paraId="740412B1" w14:textId="77777777" w:rsidTr="005C5B0C">
        <w:trPr>
          <w:trHeight w:val="773"/>
        </w:trPr>
        <w:tc>
          <w:tcPr>
            <w:tcW w:w="2055" w:type="dxa"/>
          </w:tcPr>
          <w:p w14:paraId="1ED05093"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Red Ribbon Bakeshop, Inc. vs. Commissioner of Internal Revenue </w:t>
            </w:r>
          </w:p>
          <w:p w14:paraId="38AFDF7C"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CTA Case No. 9121 </w:t>
            </w:r>
          </w:p>
          <w:p w14:paraId="4E1D67D8" w14:textId="77777777" w:rsidR="001C5772" w:rsidRPr="00BE736B" w:rsidRDefault="001C5772" w:rsidP="00BE736B">
            <w:pPr>
              <w:rPr>
                <w:rFonts w:ascii="Calibri" w:hAnsi="Calibri" w:cs="Calibri"/>
                <w:sz w:val="20"/>
                <w:szCs w:val="20"/>
              </w:rPr>
            </w:pPr>
          </w:p>
          <w:p w14:paraId="5925B477" w14:textId="77777777" w:rsidR="001C5772" w:rsidRPr="00BE736B" w:rsidRDefault="001C5772" w:rsidP="00BE736B">
            <w:pPr>
              <w:ind w:right="-30"/>
              <w:rPr>
                <w:rFonts w:ascii="Calibri" w:hAnsi="Calibri" w:cs="Calibri"/>
                <w:sz w:val="20"/>
                <w:szCs w:val="20"/>
              </w:rPr>
            </w:pPr>
          </w:p>
        </w:tc>
        <w:tc>
          <w:tcPr>
            <w:tcW w:w="1905" w:type="dxa"/>
            <w:gridSpan w:val="2"/>
          </w:tcPr>
          <w:p w14:paraId="168921C2" w14:textId="77777777" w:rsidR="001C5772" w:rsidRPr="00BE736B" w:rsidRDefault="001C5772" w:rsidP="00BE736B">
            <w:pPr>
              <w:ind w:right="45"/>
              <w:rPr>
                <w:rFonts w:ascii="Calibri" w:hAnsi="Calibri" w:cs="Calibri"/>
                <w:sz w:val="20"/>
                <w:szCs w:val="20"/>
              </w:rPr>
            </w:pPr>
            <w:r w:rsidRPr="00BE736B">
              <w:rPr>
                <w:rFonts w:ascii="Calibri" w:hAnsi="Calibri" w:cs="Calibri"/>
                <w:sz w:val="20"/>
                <w:szCs w:val="20"/>
              </w:rPr>
              <w:t xml:space="preserve">January </w:t>
            </w:r>
            <w:r>
              <w:rPr>
                <w:rFonts w:ascii="Calibri" w:hAnsi="Calibri" w:cs="Calibri"/>
                <w:sz w:val="20"/>
                <w:szCs w:val="20"/>
              </w:rPr>
              <w:t xml:space="preserve">7, </w:t>
            </w:r>
            <w:r w:rsidRPr="00BE736B">
              <w:rPr>
                <w:rFonts w:ascii="Calibri" w:hAnsi="Calibri" w:cs="Calibri"/>
                <w:sz w:val="20"/>
                <w:szCs w:val="20"/>
              </w:rPr>
              <w:t>2021</w:t>
            </w:r>
          </w:p>
        </w:tc>
        <w:tc>
          <w:tcPr>
            <w:tcW w:w="3847" w:type="dxa"/>
            <w:gridSpan w:val="2"/>
          </w:tcPr>
          <w:p w14:paraId="25E0D1DD"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Tax Assessment</w:t>
            </w:r>
          </w:p>
        </w:tc>
        <w:tc>
          <w:tcPr>
            <w:tcW w:w="1503" w:type="dxa"/>
            <w:gridSpan w:val="2"/>
          </w:tcPr>
          <w:p w14:paraId="3CDFE294" w14:textId="77777777" w:rsidR="001C5772" w:rsidRPr="00BE736B" w:rsidRDefault="001C5772" w:rsidP="00BE736B">
            <w:pPr>
              <w:ind w:right="720"/>
              <w:rPr>
                <w:rFonts w:ascii="Calibri" w:hAnsi="Calibri" w:cs="Calibri"/>
                <w:sz w:val="20"/>
                <w:szCs w:val="20"/>
              </w:rPr>
            </w:pPr>
          </w:p>
        </w:tc>
      </w:tr>
      <w:tr w:rsidR="001C5772" w:rsidRPr="00BE736B" w14:paraId="5C337FAD" w14:textId="77777777" w:rsidTr="005C5B0C">
        <w:trPr>
          <w:trHeight w:val="773"/>
        </w:trPr>
        <w:tc>
          <w:tcPr>
            <w:tcW w:w="2055" w:type="dxa"/>
          </w:tcPr>
          <w:p w14:paraId="5B4E02B7" w14:textId="77777777" w:rsidR="001C5772" w:rsidRPr="00BE736B" w:rsidRDefault="001C5772" w:rsidP="00BE736B">
            <w:pPr>
              <w:rPr>
                <w:rFonts w:ascii="Calibri" w:hAnsi="Calibri" w:cs="Calibri"/>
                <w:sz w:val="20"/>
                <w:szCs w:val="20"/>
              </w:rPr>
            </w:pPr>
          </w:p>
          <w:p w14:paraId="5ACB0E68" w14:textId="77777777" w:rsidR="001C5772" w:rsidRPr="00BE736B" w:rsidRDefault="001C5772" w:rsidP="00BE736B">
            <w:pPr>
              <w:widowControl w:val="0"/>
              <w:rPr>
                <w:rFonts w:ascii="Calibri" w:hAnsi="Calibri" w:cs="Calibri"/>
                <w:sz w:val="20"/>
                <w:szCs w:val="20"/>
              </w:rPr>
            </w:pPr>
            <w:r w:rsidRPr="00BE736B">
              <w:rPr>
                <w:rFonts w:ascii="Calibri" w:hAnsi="Calibri" w:cs="Calibri"/>
                <w:sz w:val="20"/>
                <w:szCs w:val="20"/>
              </w:rPr>
              <w:t xml:space="preserve">Prime Investment Korea Inc. vs. Commissioner of Internal Revenue </w:t>
            </w:r>
          </w:p>
          <w:p w14:paraId="3AF48326" w14:textId="77777777" w:rsidR="001C5772" w:rsidRPr="00BE736B" w:rsidRDefault="001C5772" w:rsidP="00BE736B">
            <w:pPr>
              <w:widowControl w:val="0"/>
              <w:rPr>
                <w:rFonts w:ascii="Calibri" w:hAnsi="Calibri" w:cs="Calibri"/>
                <w:sz w:val="20"/>
                <w:szCs w:val="20"/>
              </w:rPr>
            </w:pPr>
            <w:r w:rsidRPr="00BE736B">
              <w:rPr>
                <w:rFonts w:ascii="Calibri" w:hAnsi="Calibri" w:cs="Calibri"/>
                <w:sz w:val="20"/>
                <w:szCs w:val="20"/>
              </w:rPr>
              <w:t xml:space="preserve">CTA </w:t>
            </w:r>
            <w:proofErr w:type="spellStart"/>
            <w:r w:rsidRPr="00BE736B">
              <w:rPr>
                <w:rFonts w:ascii="Calibri" w:hAnsi="Calibri" w:cs="Calibri"/>
                <w:sz w:val="20"/>
                <w:szCs w:val="20"/>
              </w:rPr>
              <w:t>En</w:t>
            </w:r>
            <w:proofErr w:type="spellEnd"/>
            <w:r w:rsidRPr="00BE736B">
              <w:rPr>
                <w:rFonts w:ascii="Calibri" w:hAnsi="Calibri" w:cs="Calibri"/>
                <w:sz w:val="20"/>
                <w:szCs w:val="20"/>
              </w:rPr>
              <w:t xml:space="preserve"> Banc No. 2129 </w:t>
            </w:r>
          </w:p>
          <w:p w14:paraId="51581AB3" w14:textId="77777777" w:rsidR="001C5772" w:rsidRPr="00BE736B" w:rsidRDefault="001C5772" w:rsidP="00BE736B">
            <w:pPr>
              <w:widowControl w:val="0"/>
              <w:rPr>
                <w:rFonts w:ascii="Calibri" w:hAnsi="Calibri" w:cs="Calibri"/>
                <w:sz w:val="20"/>
                <w:szCs w:val="20"/>
              </w:rPr>
            </w:pPr>
          </w:p>
        </w:tc>
        <w:tc>
          <w:tcPr>
            <w:tcW w:w="1905" w:type="dxa"/>
            <w:gridSpan w:val="2"/>
          </w:tcPr>
          <w:p w14:paraId="3C053353" w14:textId="77777777" w:rsidR="001C5772" w:rsidRPr="00BE736B" w:rsidRDefault="001C5772" w:rsidP="00BE736B">
            <w:pPr>
              <w:widowControl w:val="0"/>
              <w:rPr>
                <w:rFonts w:ascii="Calibri" w:hAnsi="Calibri" w:cs="Calibri"/>
                <w:sz w:val="20"/>
                <w:szCs w:val="20"/>
              </w:rPr>
            </w:pPr>
            <w:r w:rsidRPr="00BE736B">
              <w:rPr>
                <w:rFonts w:ascii="Calibri" w:hAnsi="Calibri" w:cs="Calibri"/>
                <w:sz w:val="20"/>
                <w:szCs w:val="20"/>
              </w:rPr>
              <w:t>January</w:t>
            </w:r>
            <w:r>
              <w:rPr>
                <w:rFonts w:ascii="Calibri" w:hAnsi="Calibri" w:cs="Calibri"/>
                <w:sz w:val="20"/>
                <w:szCs w:val="20"/>
              </w:rPr>
              <w:t xml:space="preserve"> 8,</w:t>
            </w:r>
            <w:r w:rsidRPr="00BE736B">
              <w:rPr>
                <w:rFonts w:ascii="Calibri" w:hAnsi="Calibri" w:cs="Calibri"/>
                <w:sz w:val="20"/>
                <w:szCs w:val="20"/>
              </w:rPr>
              <w:t xml:space="preserve"> 2021</w:t>
            </w:r>
          </w:p>
          <w:p w14:paraId="2E8EB904" w14:textId="77777777" w:rsidR="001C5772" w:rsidRPr="00BE736B" w:rsidRDefault="001C5772" w:rsidP="00BE736B">
            <w:pPr>
              <w:ind w:right="45"/>
              <w:rPr>
                <w:rFonts w:ascii="Calibri" w:hAnsi="Calibri" w:cs="Calibri"/>
                <w:sz w:val="20"/>
                <w:szCs w:val="20"/>
              </w:rPr>
            </w:pPr>
          </w:p>
        </w:tc>
        <w:tc>
          <w:tcPr>
            <w:tcW w:w="3847" w:type="dxa"/>
            <w:gridSpan w:val="2"/>
          </w:tcPr>
          <w:p w14:paraId="345C9B55"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Income Tax</w:t>
            </w:r>
          </w:p>
        </w:tc>
        <w:tc>
          <w:tcPr>
            <w:tcW w:w="1503" w:type="dxa"/>
            <w:gridSpan w:val="2"/>
          </w:tcPr>
          <w:p w14:paraId="5FBFCD4A" w14:textId="77777777" w:rsidR="001C5772" w:rsidRPr="00BE736B" w:rsidRDefault="001C5772" w:rsidP="00BE736B">
            <w:pPr>
              <w:ind w:right="720"/>
              <w:rPr>
                <w:rFonts w:ascii="Calibri" w:hAnsi="Calibri" w:cs="Calibri"/>
                <w:sz w:val="20"/>
                <w:szCs w:val="20"/>
              </w:rPr>
            </w:pPr>
          </w:p>
        </w:tc>
      </w:tr>
      <w:tr w:rsidR="001C5772" w:rsidRPr="00BE736B" w14:paraId="4B42D34E" w14:textId="77777777" w:rsidTr="005C5B0C">
        <w:trPr>
          <w:trHeight w:val="773"/>
        </w:trPr>
        <w:tc>
          <w:tcPr>
            <w:tcW w:w="2055" w:type="dxa"/>
          </w:tcPr>
          <w:p w14:paraId="3EB5E9FD" w14:textId="77777777" w:rsidR="001C5772" w:rsidRPr="00BE736B" w:rsidRDefault="001C5772" w:rsidP="00BE736B">
            <w:pPr>
              <w:contextualSpacing/>
              <w:rPr>
                <w:rFonts w:ascii="Calibri" w:hAnsi="Calibri" w:cs="Calibri"/>
                <w:sz w:val="20"/>
                <w:szCs w:val="20"/>
              </w:rPr>
            </w:pPr>
          </w:p>
          <w:p w14:paraId="63DE5617" w14:textId="77777777" w:rsidR="001C5772" w:rsidRPr="00BE736B" w:rsidRDefault="001C5772" w:rsidP="00BE736B">
            <w:pPr>
              <w:contextualSpacing/>
              <w:rPr>
                <w:rFonts w:ascii="Calibri" w:hAnsi="Calibri" w:cs="Calibri"/>
                <w:sz w:val="20"/>
                <w:szCs w:val="20"/>
              </w:rPr>
            </w:pPr>
            <w:r w:rsidRPr="00BE736B">
              <w:rPr>
                <w:rFonts w:ascii="Calibri" w:hAnsi="Calibri" w:cs="Calibri"/>
                <w:sz w:val="20"/>
                <w:szCs w:val="20"/>
              </w:rPr>
              <w:t xml:space="preserve">People of the Philippines vs. </w:t>
            </w:r>
            <w:proofErr w:type="spellStart"/>
            <w:r w:rsidRPr="00BE736B">
              <w:rPr>
                <w:rFonts w:ascii="Calibri" w:hAnsi="Calibri" w:cs="Calibri"/>
                <w:sz w:val="20"/>
                <w:szCs w:val="20"/>
              </w:rPr>
              <w:t>Robiegie</w:t>
            </w:r>
            <w:proofErr w:type="spellEnd"/>
            <w:r w:rsidRPr="00BE736B">
              <w:rPr>
                <w:rFonts w:ascii="Calibri" w:hAnsi="Calibri" w:cs="Calibri"/>
                <w:sz w:val="20"/>
                <w:szCs w:val="20"/>
              </w:rPr>
              <w:t xml:space="preserve"> Corporation</w:t>
            </w:r>
          </w:p>
          <w:p w14:paraId="63999F9F" w14:textId="77777777" w:rsidR="001C5772" w:rsidRPr="00BE736B" w:rsidRDefault="001C5772" w:rsidP="00BE736B">
            <w:pPr>
              <w:contextualSpacing/>
              <w:rPr>
                <w:rFonts w:ascii="Calibri" w:hAnsi="Calibri" w:cs="Calibri"/>
                <w:sz w:val="20"/>
                <w:szCs w:val="20"/>
              </w:rPr>
            </w:pPr>
            <w:r w:rsidRPr="00BE736B">
              <w:rPr>
                <w:rFonts w:ascii="Calibri" w:hAnsi="Calibri" w:cs="Calibri"/>
                <w:sz w:val="20"/>
                <w:szCs w:val="20"/>
              </w:rPr>
              <w:t xml:space="preserve">CTA </w:t>
            </w:r>
            <w:proofErr w:type="spellStart"/>
            <w:r w:rsidRPr="00BE736B">
              <w:rPr>
                <w:rFonts w:ascii="Calibri" w:hAnsi="Calibri" w:cs="Calibri"/>
                <w:sz w:val="20"/>
                <w:szCs w:val="20"/>
              </w:rPr>
              <w:t>En</w:t>
            </w:r>
            <w:proofErr w:type="spellEnd"/>
            <w:r w:rsidRPr="00BE736B">
              <w:rPr>
                <w:rFonts w:ascii="Calibri" w:hAnsi="Calibri" w:cs="Calibri"/>
                <w:sz w:val="20"/>
                <w:szCs w:val="20"/>
              </w:rPr>
              <w:t xml:space="preserve"> Banc Case No. 2188 </w:t>
            </w:r>
          </w:p>
          <w:p w14:paraId="178D8CDA" w14:textId="77777777" w:rsidR="001C5772" w:rsidRPr="00BE736B" w:rsidRDefault="001C5772" w:rsidP="00BE736B">
            <w:pPr>
              <w:contextualSpacing/>
              <w:rPr>
                <w:rFonts w:ascii="Calibri" w:hAnsi="Calibri" w:cs="Calibri"/>
                <w:sz w:val="20"/>
                <w:szCs w:val="20"/>
              </w:rPr>
            </w:pPr>
          </w:p>
        </w:tc>
        <w:tc>
          <w:tcPr>
            <w:tcW w:w="1905" w:type="dxa"/>
            <w:gridSpan w:val="2"/>
          </w:tcPr>
          <w:p w14:paraId="2C6144DD" w14:textId="77777777" w:rsidR="001C5772" w:rsidRPr="00BE736B" w:rsidRDefault="001C5772" w:rsidP="00BE736B">
            <w:pPr>
              <w:contextualSpacing/>
              <w:rPr>
                <w:rFonts w:ascii="Calibri" w:hAnsi="Calibri" w:cs="Calibri"/>
                <w:sz w:val="20"/>
                <w:szCs w:val="20"/>
              </w:rPr>
            </w:pPr>
            <w:r w:rsidRPr="00BE736B">
              <w:rPr>
                <w:rFonts w:ascii="Calibri" w:hAnsi="Calibri" w:cs="Calibri"/>
                <w:sz w:val="20"/>
                <w:szCs w:val="20"/>
              </w:rPr>
              <w:t xml:space="preserve">January 8, 2021 </w:t>
            </w:r>
          </w:p>
          <w:p w14:paraId="2A9B9892" w14:textId="77777777" w:rsidR="001C5772" w:rsidRPr="00BE736B" w:rsidRDefault="001C5772" w:rsidP="00BE736B">
            <w:pPr>
              <w:ind w:right="45"/>
              <w:rPr>
                <w:rFonts w:ascii="Calibri" w:hAnsi="Calibri" w:cs="Calibri"/>
                <w:sz w:val="20"/>
                <w:szCs w:val="20"/>
              </w:rPr>
            </w:pPr>
          </w:p>
        </w:tc>
        <w:tc>
          <w:tcPr>
            <w:tcW w:w="3847" w:type="dxa"/>
            <w:gridSpan w:val="2"/>
          </w:tcPr>
          <w:p w14:paraId="2E38DB0D"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Tax Audit</w:t>
            </w:r>
          </w:p>
        </w:tc>
        <w:tc>
          <w:tcPr>
            <w:tcW w:w="1503" w:type="dxa"/>
            <w:gridSpan w:val="2"/>
          </w:tcPr>
          <w:p w14:paraId="56385C89" w14:textId="77777777" w:rsidR="001C5772" w:rsidRPr="00BE736B" w:rsidRDefault="001C5772" w:rsidP="00BE736B">
            <w:pPr>
              <w:ind w:right="720"/>
              <w:rPr>
                <w:rFonts w:ascii="Calibri" w:hAnsi="Calibri" w:cs="Calibri"/>
                <w:sz w:val="20"/>
                <w:szCs w:val="20"/>
              </w:rPr>
            </w:pPr>
          </w:p>
        </w:tc>
      </w:tr>
      <w:tr w:rsidR="001C5772" w:rsidRPr="00BE736B" w14:paraId="720F57BD" w14:textId="77777777" w:rsidTr="005C5B0C">
        <w:trPr>
          <w:trHeight w:val="773"/>
        </w:trPr>
        <w:tc>
          <w:tcPr>
            <w:tcW w:w="2055" w:type="dxa"/>
          </w:tcPr>
          <w:p w14:paraId="5DB12183" w14:textId="77777777" w:rsidR="001C5772" w:rsidRPr="00BE736B" w:rsidRDefault="001C5772" w:rsidP="00BE736B">
            <w:pPr>
              <w:contextualSpacing/>
              <w:rPr>
                <w:rFonts w:ascii="Calibri" w:hAnsi="Calibri" w:cs="Calibri"/>
                <w:sz w:val="20"/>
                <w:szCs w:val="20"/>
              </w:rPr>
            </w:pPr>
            <w:proofErr w:type="spellStart"/>
            <w:r w:rsidRPr="00BE736B">
              <w:rPr>
                <w:rFonts w:ascii="Calibri" w:hAnsi="Calibri" w:cs="Calibri"/>
                <w:sz w:val="20"/>
                <w:szCs w:val="20"/>
              </w:rPr>
              <w:t>Ammex</w:t>
            </w:r>
            <w:proofErr w:type="spellEnd"/>
            <w:r w:rsidRPr="00BE736B">
              <w:rPr>
                <w:rFonts w:ascii="Calibri" w:hAnsi="Calibri" w:cs="Calibri"/>
                <w:sz w:val="20"/>
                <w:szCs w:val="20"/>
              </w:rPr>
              <w:t xml:space="preserve"> I-Support Corporation vs. Commissioner of Internal Revenue</w:t>
            </w:r>
          </w:p>
          <w:p w14:paraId="6F5F980C" w14:textId="77777777" w:rsidR="001C5772" w:rsidRPr="00BE736B" w:rsidRDefault="001C5772" w:rsidP="00BE736B">
            <w:pPr>
              <w:contextualSpacing/>
              <w:rPr>
                <w:rFonts w:ascii="Calibri" w:hAnsi="Calibri" w:cs="Calibri"/>
                <w:sz w:val="20"/>
                <w:szCs w:val="20"/>
              </w:rPr>
            </w:pPr>
            <w:r w:rsidRPr="00BE736B">
              <w:rPr>
                <w:rFonts w:ascii="Calibri" w:hAnsi="Calibri" w:cs="Calibri"/>
                <w:sz w:val="20"/>
                <w:szCs w:val="20"/>
              </w:rPr>
              <w:t>CTA Case No. 9906</w:t>
            </w:r>
          </w:p>
          <w:p w14:paraId="4158EF0F" w14:textId="77777777" w:rsidR="001C5772" w:rsidRPr="00BE736B" w:rsidRDefault="001C5772" w:rsidP="00BE736B">
            <w:pPr>
              <w:contextualSpacing/>
              <w:rPr>
                <w:rFonts w:ascii="Calibri" w:hAnsi="Calibri" w:cs="Calibri"/>
                <w:sz w:val="20"/>
                <w:szCs w:val="20"/>
              </w:rPr>
            </w:pPr>
          </w:p>
          <w:p w14:paraId="0BD7DF1B" w14:textId="77777777" w:rsidR="001C5772" w:rsidRPr="00BE736B" w:rsidRDefault="001C5772" w:rsidP="00BE736B">
            <w:pPr>
              <w:ind w:right="-30"/>
              <w:rPr>
                <w:rFonts w:ascii="Calibri" w:hAnsi="Calibri" w:cs="Calibri"/>
                <w:sz w:val="20"/>
                <w:szCs w:val="20"/>
              </w:rPr>
            </w:pPr>
          </w:p>
        </w:tc>
        <w:tc>
          <w:tcPr>
            <w:tcW w:w="1905" w:type="dxa"/>
            <w:gridSpan w:val="2"/>
          </w:tcPr>
          <w:p w14:paraId="7396BB50" w14:textId="77777777" w:rsidR="001C5772" w:rsidRPr="00BE736B" w:rsidRDefault="001C5772" w:rsidP="00BE736B">
            <w:pPr>
              <w:contextualSpacing/>
              <w:rPr>
                <w:rFonts w:ascii="Calibri" w:hAnsi="Calibri" w:cs="Calibri"/>
                <w:sz w:val="20"/>
                <w:szCs w:val="20"/>
              </w:rPr>
            </w:pPr>
            <w:r w:rsidRPr="00BE736B">
              <w:rPr>
                <w:rFonts w:ascii="Calibri" w:hAnsi="Calibri" w:cs="Calibri"/>
                <w:sz w:val="20"/>
                <w:szCs w:val="20"/>
              </w:rPr>
              <w:t>January 8, 2021</w:t>
            </w:r>
          </w:p>
          <w:p w14:paraId="789CE837" w14:textId="77777777" w:rsidR="001C5772" w:rsidRPr="00BE736B" w:rsidRDefault="001C5772" w:rsidP="00BE736B">
            <w:pPr>
              <w:ind w:right="45"/>
              <w:rPr>
                <w:rFonts w:ascii="Calibri" w:hAnsi="Calibri" w:cs="Calibri"/>
                <w:sz w:val="20"/>
                <w:szCs w:val="20"/>
              </w:rPr>
            </w:pPr>
          </w:p>
        </w:tc>
        <w:tc>
          <w:tcPr>
            <w:tcW w:w="3847" w:type="dxa"/>
            <w:gridSpan w:val="2"/>
          </w:tcPr>
          <w:p w14:paraId="3685856F"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VAT</w:t>
            </w:r>
          </w:p>
        </w:tc>
        <w:tc>
          <w:tcPr>
            <w:tcW w:w="1503" w:type="dxa"/>
            <w:gridSpan w:val="2"/>
          </w:tcPr>
          <w:p w14:paraId="3B5CCC1D" w14:textId="77777777" w:rsidR="001C5772" w:rsidRPr="00BE736B" w:rsidRDefault="001C5772" w:rsidP="00BE736B">
            <w:pPr>
              <w:ind w:right="720"/>
              <w:rPr>
                <w:rFonts w:ascii="Calibri" w:hAnsi="Calibri" w:cs="Calibri"/>
                <w:sz w:val="20"/>
                <w:szCs w:val="20"/>
              </w:rPr>
            </w:pPr>
          </w:p>
        </w:tc>
      </w:tr>
      <w:tr w:rsidR="001C5772" w:rsidRPr="00BE736B" w14:paraId="539D03AE" w14:textId="77777777" w:rsidTr="005C5B0C">
        <w:trPr>
          <w:trHeight w:val="773"/>
        </w:trPr>
        <w:tc>
          <w:tcPr>
            <w:tcW w:w="2055" w:type="dxa"/>
          </w:tcPr>
          <w:p w14:paraId="51A5DA61" w14:textId="77777777" w:rsidR="001C5772" w:rsidRPr="00BE736B" w:rsidRDefault="001C5772" w:rsidP="00BE736B">
            <w:pPr>
              <w:rPr>
                <w:rFonts w:ascii="Calibri" w:hAnsi="Calibri" w:cs="Calibri"/>
                <w:sz w:val="20"/>
                <w:szCs w:val="20"/>
              </w:rPr>
            </w:pPr>
            <w:r w:rsidRPr="00BE736B">
              <w:rPr>
                <w:rFonts w:ascii="Calibri" w:hAnsi="Calibri" w:cs="Calibri"/>
                <w:color w:val="000000"/>
                <w:sz w:val="20"/>
                <w:szCs w:val="20"/>
              </w:rPr>
              <w:t>Halliburton Worldwide Limited – Philippine Branch vs. Commissioner of Internal Revenue</w:t>
            </w:r>
          </w:p>
          <w:p w14:paraId="62B7AAA8"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CTA Case No. 9670 </w:t>
            </w:r>
          </w:p>
          <w:p w14:paraId="3B1ACCB1"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 </w:t>
            </w:r>
          </w:p>
        </w:tc>
        <w:tc>
          <w:tcPr>
            <w:tcW w:w="1905" w:type="dxa"/>
            <w:gridSpan w:val="2"/>
          </w:tcPr>
          <w:p w14:paraId="0E2B7E17"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 January</w:t>
            </w:r>
            <w:r>
              <w:rPr>
                <w:rFonts w:ascii="Calibri" w:hAnsi="Calibri" w:cs="Calibri"/>
                <w:sz w:val="20"/>
                <w:szCs w:val="20"/>
              </w:rPr>
              <w:t xml:space="preserve"> 11,</w:t>
            </w:r>
            <w:r w:rsidRPr="00BE736B">
              <w:rPr>
                <w:rFonts w:ascii="Calibri" w:hAnsi="Calibri" w:cs="Calibri"/>
                <w:sz w:val="20"/>
                <w:szCs w:val="20"/>
              </w:rPr>
              <w:t xml:space="preserve"> 2021</w:t>
            </w:r>
          </w:p>
          <w:p w14:paraId="3590FF63" w14:textId="77777777" w:rsidR="001C5772" w:rsidRPr="00BE736B" w:rsidRDefault="001C5772" w:rsidP="00BE736B">
            <w:pPr>
              <w:ind w:right="45"/>
              <w:rPr>
                <w:rFonts w:ascii="Calibri" w:hAnsi="Calibri" w:cs="Calibri"/>
                <w:sz w:val="20"/>
                <w:szCs w:val="20"/>
              </w:rPr>
            </w:pPr>
          </w:p>
        </w:tc>
        <w:tc>
          <w:tcPr>
            <w:tcW w:w="3847" w:type="dxa"/>
            <w:gridSpan w:val="2"/>
          </w:tcPr>
          <w:p w14:paraId="16A25A4D"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VAT</w:t>
            </w:r>
          </w:p>
        </w:tc>
        <w:tc>
          <w:tcPr>
            <w:tcW w:w="1503" w:type="dxa"/>
            <w:gridSpan w:val="2"/>
          </w:tcPr>
          <w:p w14:paraId="6D6EED93" w14:textId="77777777" w:rsidR="001C5772" w:rsidRPr="00BE736B" w:rsidRDefault="001C5772" w:rsidP="00BE736B">
            <w:pPr>
              <w:ind w:right="720"/>
              <w:rPr>
                <w:rFonts w:ascii="Calibri" w:hAnsi="Calibri" w:cs="Calibri"/>
                <w:sz w:val="20"/>
                <w:szCs w:val="20"/>
              </w:rPr>
            </w:pPr>
          </w:p>
        </w:tc>
      </w:tr>
      <w:tr w:rsidR="001C5772" w:rsidRPr="00BE736B" w14:paraId="413F3CDE" w14:textId="77777777" w:rsidTr="005C5B0C">
        <w:trPr>
          <w:trHeight w:val="773"/>
        </w:trPr>
        <w:tc>
          <w:tcPr>
            <w:tcW w:w="2055" w:type="dxa"/>
          </w:tcPr>
          <w:p w14:paraId="49A31DFA" w14:textId="77777777" w:rsidR="001C5772" w:rsidRPr="00BE736B" w:rsidRDefault="001C5772" w:rsidP="00BE736B">
            <w:pPr>
              <w:rPr>
                <w:rFonts w:ascii="Calibri" w:hAnsi="Calibri" w:cs="Calibri"/>
                <w:sz w:val="20"/>
                <w:szCs w:val="20"/>
              </w:rPr>
            </w:pPr>
            <w:r w:rsidRPr="00BE736B">
              <w:rPr>
                <w:rFonts w:ascii="Calibri" w:hAnsi="Calibri" w:cs="Calibri"/>
                <w:color w:val="000000"/>
                <w:sz w:val="20"/>
                <w:szCs w:val="20"/>
              </w:rPr>
              <w:t>Four Seas Trading Corporation vs. Commissioner of Internal Revenue</w:t>
            </w:r>
          </w:p>
          <w:p w14:paraId="11C1CBA7"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CTA Case No. 9915 </w:t>
            </w:r>
          </w:p>
          <w:p w14:paraId="52AE7240" w14:textId="77777777" w:rsidR="001C5772" w:rsidRPr="00BE736B" w:rsidRDefault="001C5772" w:rsidP="00BE736B">
            <w:pPr>
              <w:rPr>
                <w:rFonts w:ascii="Calibri" w:hAnsi="Calibri" w:cs="Calibri"/>
                <w:sz w:val="20"/>
                <w:szCs w:val="20"/>
              </w:rPr>
            </w:pPr>
          </w:p>
        </w:tc>
        <w:tc>
          <w:tcPr>
            <w:tcW w:w="1905" w:type="dxa"/>
            <w:gridSpan w:val="2"/>
          </w:tcPr>
          <w:p w14:paraId="0961DE04"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January</w:t>
            </w:r>
            <w:r>
              <w:rPr>
                <w:rFonts w:ascii="Calibri" w:hAnsi="Calibri" w:cs="Calibri"/>
                <w:sz w:val="20"/>
                <w:szCs w:val="20"/>
              </w:rPr>
              <w:t xml:space="preserve"> 11,</w:t>
            </w:r>
            <w:r w:rsidRPr="00BE736B">
              <w:rPr>
                <w:rFonts w:ascii="Calibri" w:hAnsi="Calibri" w:cs="Calibri"/>
                <w:sz w:val="20"/>
                <w:szCs w:val="20"/>
              </w:rPr>
              <w:t xml:space="preserve"> 2021</w:t>
            </w:r>
          </w:p>
          <w:p w14:paraId="0A8EEDFD" w14:textId="77777777" w:rsidR="001C5772" w:rsidRPr="00BE736B" w:rsidRDefault="001C5772" w:rsidP="00BE736B">
            <w:pPr>
              <w:ind w:right="45"/>
              <w:rPr>
                <w:rFonts w:ascii="Calibri" w:hAnsi="Calibri" w:cs="Calibri"/>
                <w:sz w:val="20"/>
                <w:szCs w:val="20"/>
              </w:rPr>
            </w:pPr>
          </w:p>
        </w:tc>
        <w:tc>
          <w:tcPr>
            <w:tcW w:w="3847" w:type="dxa"/>
            <w:gridSpan w:val="2"/>
          </w:tcPr>
          <w:p w14:paraId="284CAEAC"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Due process</w:t>
            </w:r>
          </w:p>
        </w:tc>
        <w:tc>
          <w:tcPr>
            <w:tcW w:w="1503" w:type="dxa"/>
            <w:gridSpan w:val="2"/>
          </w:tcPr>
          <w:p w14:paraId="20D5B2F6" w14:textId="77777777" w:rsidR="001C5772" w:rsidRPr="00BE736B" w:rsidRDefault="001C5772" w:rsidP="00BE736B">
            <w:pPr>
              <w:ind w:right="720"/>
              <w:rPr>
                <w:rFonts w:ascii="Calibri" w:hAnsi="Calibri" w:cs="Calibri"/>
                <w:sz w:val="20"/>
                <w:szCs w:val="20"/>
              </w:rPr>
            </w:pPr>
          </w:p>
        </w:tc>
      </w:tr>
      <w:tr w:rsidR="001C5772" w:rsidRPr="00BE736B" w14:paraId="09466A63" w14:textId="77777777" w:rsidTr="005C5B0C">
        <w:trPr>
          <w:trHeight w:val="773"/>
        </w:trPr>
        <w:tc>
          <w:tcPr>
            <w:tcW w:w="2055" w:type="dxa"/>
          </w:tcPr>
          <w:p w14:paraId="320EDEA6"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lastRenderedPageBreak/>
              <w:t xml:space="preserve">Negros Sugar Farmers Multi-Purpose Cooperative vs. Commissioner of Internal Revenue </w:t>
            </w:r>
          </w:p>
          <w:p w14:paraId="7F806383"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t xml:space="preserve">CTA Case No. 9810 </w:t>
            </w:r>
          </w:p>
          <w:p w14:paraId="7B76974A" w14:textId="77777777" w:rsidR="001C5772" w:rsidRPr="00BE736B" w:rsidRDefault="001C5772" w:rsidP="00BE736B">
            <w:pPr>
              <w:rPr>
                <w:rFonts w:ascii="Calibri" w:hAnsi="Calibri" w:cs="Calibri"/>
                <w:sz w:val="20"/>
                <w:szCs w:val="20"/>
              </w:rPr>
            </w:pPr>
          </w:p>
        </w:tc>
        <w:tc>
          <w:tcPr>
            <w:tcW w:w="1905" w:type="dxa"/>
            <w:gridSpan w:val="2"/>
          </w:tcPr>
          <w:p w14:paraId="0F96F815"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t>January</w:t>
            </w:r>
            <w:r>
              <w:rPr>
                <w:rFonts w:ascii="Calibri" w:eastAsia="Times New Roman" w:hAnsi="Calibri" w:cs="Calibri"/>
                <w:color w:val="000000"/>
                <w:sz w:val="20"/>
                <w:szCs w:val="20"/>
              </w:rPr>
              <w:t xml:space="preserve"> 11,</w:t>
            </w:r>
            <w:r w:rsidRPr="00BE736B">
              <w:rPr>
                <w:rFonts w:ascii="Calibri" w:eastAsia="Times New Roman" w:hAnsi="Calibri" w:cs="Calibri"/>
                <w:color w:val="000000"/>
                <w:sz w:val="20"/>
                <w:szCs w:val="20"/>
              </w:rPr>
              <w:t xml:space="preserve"> 2021</w:t>
            </w:r>
          </w:p>
          <w:p w14:paraId="2DB7FD65" w14:textId="77777777" w:rsidR="001C5772" w:rsidRPr="00BE736B" w:rsidRDefault="001C5772" w:rsidP="00BE736B">
            <w:pPr>
              <w:ind w:right="45"/>
              <w:rPr>
                <w:rFonts w:ascii="Calibri" w:hAnsi="Calibri" w:cs="Calibri"/>
                <w:sz w:val="20"/>
                <w:szCs w:val="20"/>
              </w:rPr>
            </w:pPr>
          </w:p>
        </w:tc>
        <w:tc>
          <w:tcPr>
            <w:tcW w:w="3847" w:type="dxa"/>
            <w:gridSpan w:val="2"/>
          </w:tcPr>
          <w:p w14:paraId="0680D546"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Appeal</w:t>
            </w:r>
          </w:p>
        </w:tc>
        <w:tc>
          <w:tcPr>
            <w:tcW w:w="1503" w:type="dxa"/>
            <w:gridSpan w:val="2"/>
          </w:tcPr>
          <w:p w14:paraId="1782A025" w14:textId="77777777" w:rsidR="001C5772" w:rsidRPr="00BE736B" w:rsidRDefault="001C5772" w:rsidP="00BE736B">
            <w:pPr>
              <w:ind w:right="720"/>
              <w:rPr>
                <w:rFonts w:ascii="Calibri" w:hAnsi="Calibri" w:cs="Calibri"/>
                <w:sz w:val="20"/>
                <w:szCs w:val="20"/>
              </w:rPr>
            </w:pPr>
          </w:p>
        </w:tc>
      </w:tr>
      <w:tr w:rsidR="001C5772" w:rsidRPr="00BE736B" w14:paraId="38679B2C" w14:textId="77777777" w:rsidTr="005C5B0C">
        <w:trPr>
          <w:trHeight w:val="773"/>
        </w:trPr>
        <w:tc>
          <w:tcPr>
            <w:tcW w:w="2055" w:type="dxa"/>
          </w:tcPr>
          <w:p w14:paraId="6D6BFB41"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t xml:space="preserve">SMCC Philippines, Inc. vs. Commissioner of Internal Revenue </w:t>
            </w:r>
          </w:p>
          <w:p w14:paraId="6292DBA8"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t>CTA Case No. 9082</w:t>
            </w:r>
          </w:p>
          <w:p w14:paraId="37019D5D" w14:textId="77777777" w:rsidR="001C5772" w:rsidRPr="00BE736B" w:rsidRDefault="001C5772" w:rsidP="00BE736B">
            <w:pPr>
              <w:rPr>
                <w:rFonts w:ascii="Calibri" w:hAnsi="Calibri" w:cs="Calibri"/>
                <w:sz w:val="20"/>
                <w:szCs w:val="20"/>
              </w:rPr>
            </w:pPr>
          </w:p>
        </w:tc>
        <w:tc>
          <w:tcPr>
            <w:tcW w:w="1905" w:type="dxa"/>
            <w:gridSpan w:val="2"/>
          </w:tcPr>
          <w:p w14:paraId="53FED0C0" w14:textId="77777777" w:rsidR="001C5772" w:rsidRPr="00BE736B" w:rsidRDefault="001C5772" w:rsidP="00BE736B">
            <w:pPr>
              <w:rPr>
                <w:rFonts w:ascii="Calibri" w:eastAsia="Times New Roman" w:hAnsi="Calibri" w:cs="Calibri"/>
                <w:color w:val="000000"/>
                <w:sz w:val="20"/>
                <w:szCs w:val="20"/>
              </w:rPr>
            </w:pPr>
            <w:r w:rsidRPr="00BE736B">
              <w:rPr>
                <w:rFonts w:ascii="Calibri" w:eastAsia="Times New Roman" w:hAnsi="Calibri" w:cs="Calibri"/>
                <w:color w:val="000000"/>
                <w:sz w:val="20"/>
                <w:szCs w:val="20"/>
              </w:rPr>
              <w:t>January</w:t>
            </w:r>
            <w:r>
              <w:rPr>
                <w:rFonts w:ascii="Calibri" w:eastAsia="Times New Roman" w:hAnsi="Calibri" w:cs="Calibri"/>
                <w:color w:val="000000"/>
                <w:sz w:val="20"/>
                <w:szCs w:val="20"/>
              </w:rPr>
              <w:t xml:space="preserve"> 12,</w:t>
            </w:r>
            <w:r w:rsidRPr="00BE736B">
              <w:rPr>
                <w:rFonts w:ascii="Calibri" w:eastAsia="Times New Roman" w:hAnsi="Calibri" w:cs="Calibri"/>
                <w:color w:val="000000"/>
                <w:sz w:val="20"/>
                <w:szCs w:val="20"/>
              </w:rPr>
              <w:t xml:space="preserve"> 2021</w:t>
            </w:r>
          </w:p>
          <w:p w14:paraId="719B3907" w14:textId="77777777" w:rsidR="001C5772" w:rsidRPr="00BE736B" w:rsidRDefault="001C5772" w:rsidP="00BE736B">
            <w:pPr>
              <w:ind w:right="45"/>
              <w:rPr>
                <w:rFonts w:ascii="Calibri" w:hAnsi="Calibri" w:cs="Calibri"/>
                <w:sz w:val="20"/>
                <w:szCs w:val="20"/>
              </w:rPr>
            </w:pPr>
          </w:p>
        </w:tc>
        <w:tc>
          <w:tcPr>
            <w:tcW w:w="3847" w:type="dxa"/>
            <w:gridSpan w:val="2"/>
          </w:tcPr>
          <w:p w14:paraId="6AE7B53B" w14:textId="77777777" w:rsidR="001C5772" w:rsidRPr="00BE736B" w:rsidRDefault="001C5772" w:rsidP="00BE736B">
            <w:pPr>
              <w:ind w:right="60"/>
              <w:rPr>
                <w:rFonts w:ascii="Calibri" w:hAnsi="Calibri" w:cs="Calibri"/>
                <w:sz w:val="20"/>
                <w:szCs w:val="20"/>
              </w:rPr>
            </w:pPr>
            <w:r w:rsidRPr="00BE736B">
              <w:rPr>
                <w:rFonts w:ascii="Calibri" w:hAnsi="Calibri" w:cs="Calibri"/>
                <w:sz w:val="20"/>
                <w:szCs w:val="20"/>
              </w:rPr>
              <w:t>Vat refund</w:t>
            </w:r>
          </w:p>
        </w:tc>
        <w:tc>
          <w:tcPr>
            <w:tcW w:w="1503" w:type="dxa"/>
            <w:gridSpan w:val="2"/>
          </w:tcPr>
          <w:p w14:paraId="562083A8" w14:textId="77777777" w:rsidR="001C5772" w:rsidRPr="00BE736B" w:rsidRDefault="001C5772" w:rsidP="00BE736B">
            <w:pPr>
              <w:ind w:right="720"/>
              <w:rPr>
                <w:rFonts w:ascii="Calibri" w:hAnsi="Calibri" w:cs="Calibri"/>
                <w:sz w:val="20"/>
                <w:szCs w:val="20"/>
              </w:rPr>
            </w:pPr>
          </w:p>
        </w:tc>
      </w:tr>
    </w:tbl>
    <w:p w14:paraId="79B8CA56" w14:textId="77777777" w:rsidR="001C5772" w:rsidRPr="00BE736B" w:rsidRDefault="001C5772" w:rsidP="001C5772">
      <w:pPr>
        <w:spacing w:after="0" w:line="240" w:lineRule="auto"/>
        <w:rPr>
          <w:rFonts w:ascii="Calibri" w:hAnsi="Calibri" w:cs="Calibri"/>
          <w:sz w:val="20"/>
          <w:szCs w:val="20"/>
        </w:rPr>
      </w:pPr>
    </w:p>
    <w:p w14:paraId="41373FE6" w14:textId="77777777" w:rsidR="001C5772" w:rsidRDefault="001C5772" w:rsidP="001C5772">
      <w:pPr>
        <w:spacing w:after="0" w:line="240" w:lineRule="auto"/>
        <w:rPr>
          <w:rFonts w:ascii="Calibri" w:hAnsi="Calibri" w:cs="Calibri"/>
          <w:b/>
          <w:bCs/>
          <w:sz w:val="20"/>
          <w:szCs w:val="20"/>
        </w:rPr>
      </w:pPr>
    </w:p>
    <w:p w14:paraId="7F9B41BA" w14:textId="77777777" w:rsidR="001C5772" w:rsidRPr="00BE736B" w:rsidRDefault="001C5772" w:rsidP="001C5772">
      <w:pPr>
        <w:spacing w:after="0" w:line="240" w:lineRule="auto"/>
        <w:rPr>
          <w:rFonts w:ascii="Calibri" w:hAnsi="Calibri" w:cs="Calibri"/>
          <w:b/>
          <w:bCs/>
          <w:sz w:val="20"/>
          <w:szCs w:val="20"/>
        </w:rPr>
      </w:pPr>
    </w:p>
    <w:tbl>
      <w:tblPr>
        <w:tblStyle w:val="TableGrid"/>
        <w:tblW w:w="0" w:type="auto"/>
        <w:tblInd w:w="85" w:type="dxa"/>
        <w:tblLook w:val="04A0" w:firstRow="1" w:lastRow="0" w:firstColumn="1" w:lastColumn="0" w:noHBand="0" w:noVBand="1"/>
      </w:tblPr>
      <w:tblGrid>
        <w:gridCol w:w="2058"/>
        <w:gridCol w:w="1874"/>
        <w:gridCol w:w="3865"/>
        <w:gridCol w:w="1468"/>
      </w:tblGrid>
      <w:tr w:rsidR="001C5772" w:rsidRPr="00BE736B" w14:paraId="59AFE1B6" w14:textId="77777777" w:rsidTr="00BE736B">
        <w:tc>
          <w:tcPr>
            <w:tcW w:w="9265" w:type="dxa"/>
            <w:gridSpan w:val="4"/>
          </w:tcPr>
          <w:p w14:paraId="02358159" w14:textId="77777777" w:rsidR="001C5772" w:rsidRPr="00BE736B" w:rsidRDefault="001C5772" w:rsidP="00BE736B">
            <w:pPr>
              <w:ind w:right="720"/>
              <w:jc w:val="center"/>
              <w:rPr>
                <w:rFonts w:ascii="Calibri" w:hAnsi="Calibri" w:cs="Calibri"/>
                <w:b/>
                <w:bCs/>
                <w:sz w:val="20"/>
                <w:szCs w:val="20"/>
              </w:rPr>
            </w:pPr>
            <w:r w:rsidRPr="00BE736B">
              <w:rPr>
                <w:rFonts w:ascii="Calibri" w:hAnsi="Calibri" w:cs="Calibri"/>
                <w:b/>
                <w:bCs/>
                <w:sz w:val="20"/>
                <w:szCs w:val="20"/>
              </w:rPr>
              <w:t>Bureau of Customs</w:t>
            </w:r>
          </w:p>
        </w:tc>
      </w:tr>
      <w:tr w:rsidR="001C5772" w:rsidRPr="00BE736B" w14:paraId="3BC10F41" w14:textId="77777777" w:rsidTr="00BE736B">
        <w:tc>
          <w:tcPr>
            <w:tcW w:w="2058" w:type="dxa"/>
          </w:tcPr>
          <w:p w14:paraId="4B72EDAB" w14:textId="77777777" w:rsidR="001C5772" w:rsidRPr="00BE736B" w:rsidRDefault="001C5772" w:rsidP="00BE736B">
            <w:pPr>
              <w:ind w:right="720"/>
              <w:jc w:val="center"/>
              <w:rPr>
                <w:rFonts w:ascii="Calibri" w:hAnsi="Calibri" w:cs="Calibri"/>
                <w:sz w:val="20"/>
                <w:szCs w:val="20"/>
              </w:rPr>
            </w:pPr>
            <w:r w:rsidRPr="00BE736B">
              <w:rPr>
                <w:rFonts w:ascii="Calibri" w:hAnsi="Calibri" w:cs="Calibri"/>
                <w:b/>
                <w:bCs/>
                <w:sz w:val="20"/>
                <w:szCs w:val="20"/>
              </w:rPr>
              <w:t>ISSUANCE</w:t>
            </w:r>
          </w:p>
        </w:tc>
        <w:tc>
          <w:tcPr>
            <w:tcW w:w="1874" w:type="dxa"/>
          </w:tcPr>
          <w:p w14:paraId="13148ED8" w14:textId="77777777" w:rsidR="001C5772" w:rsidRPr="00BE736B" w:rsidRDefault="001C5772" w:rsidP="00BE736B">
            <w:pPr>
              <w:ind w:right="720"/>
              <w:jc w:val="center"/>
              <w:rPr>
                <w:rFonts w:ascii="Calibri" w:hAnsi="Calibri" w:cs="Calibri"/>
                <w:sz w:val="20"/>
                <w:szCs w:val="20"/>
              </w:rPr>
            </w:pPr>
            <w:r w:rsidRPr="00BE736B">
              <w:rPr>
                <w:rFonts w:ascii="Calibri" w:hAnsi="Calibri" w:cs="Calibri"/>
                <w:b/>
                <w:bCs/>
                <w:sz w:val="20"/>
                <w:szCs w:val="20"/>
              </w:rPr>
              <w:t>DATE ISSUED</w:t>
            </w:r>
          </w:p>
        </w:tc>
        <w:tc>
          <w:tcPr>
            <w:tcW w:w="3865" w:type="dxa"/>
          </w:tcPr>
          <w:p w14:paraId="16B8A028" w14:textId="77777777" w:rsidR="001C5772" w:rsidRPr="00BE736B" w:rsidRDefault="001C5772" w:rsidP="00BE736B">
            <w:pPr>
              <w:ind w:right="720"/>
              <w:jc w:val="center"/>
              <w:rPr>
                <w:rFonts w:ascii="Calibri" w:hAnsi="Calibri" w:cs="Calibri"/>
                <w:sz w:val="20"/>
                <w:szCs w:val="20"/>
              </w:rPr>
            </w:pPr>
            <w:r w:rsidRPr="00BE736B">
              <w:rPr>
                <w:rFonts w:ascii="Calibri" w:hAnsi="Calibri" w:cs="Calibri"/>
                <w:b/>
                <w:bCs/>
                <w:sz w:val="20"/>
                <w:szCs w:val="20"/>
              </w:rPr>
              <w:t>SUBJECT</w:t>
            </w:r>
          </w:p>
        </w:tc>
        <w:tc>
          <w:tcPr>
            <w:tcW w:w="1468" w:type="dxa"/>
          </w:tcPr>
          <w:p w14:paraId="43E4CE09" w14:textId="77777777" w:rsidR="001C5772" w:rsidRPr="00BE736B" w:rsidRDefault="001C5772" w:rsidP="00BE736B">
            <w:pPr>
              <w:ind w:right="720"/>
              <w:jc w:val="center"/>
              <w:rPr>
                <w:rFonts w:ascii="Calibri" w:hAnsi="Calibri" w:cs="Calibri"/>
                <w:sz w:val="20"/>
                <w:szCs w:val="20"/>
              </w:rPr>
            </w:pPr>
            <w:r w:rsidRPr="00BE736B">
              <w:rPr>
                <w:rFonts w:ascii="Calibri" w:hAnsi="Calibri" w:cs="Calibri"/>
                <w:b/>
                <w:bCs/>
                <w:sz w:val="20"/>
                <w:szCs w:val="20"/>
              </w:rPr>
              <w:t>PAGE NO.</w:t>
            </w:r>
          </w:p>
        </w:tc>
      </w:tr>
      <w:tr w:rsidR="001C5772" w:rsidRPr="00BE736B" w14:paraId="5DD4AC04" w14:textId="77777777" w:rsidTr="00BE736B">
        <w:tc>
          <w:tcPr>
            <w:tcW w:w="2058" w:type="dxa"/>
          </w:tcPr>
          <w:p w14:paraId="7872FE3C"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Customs Administrative Order (CAO) No. 14-2020</w:t>
            </w:r>
          </w:p>
        </w:tc>
        <w:tc>
          <w:tcPr>
            <w:tcW w:w="1874" w:type="dxa"/>
          </w:tcPr>
          <w:p w14:paraId="6E904AE4" w14:textId="77777777" w:rsidR="001C5772" w:rsidRPr="00BE736B" w:rsidRDefault="001C5772" w:rsidP="00BE736B">
            <w:pPr>
              <w:ind w:right="720"/>
              <w:jc w:val="center"/>
              <w:rPr>
                <w:rFonts w:ascii="Calibri" w:hAnsi="Calibri" w:cs="Calibri"/>
                <w:sz w:val="20"/>
                <w:szCs w:val="20"/>
              </w:rPr>
            </w:pPr>
          </w:p>
        </w:tc>
        <w:tc>
          <w:tcPr>
            <w:tcW w:w="3865" w:type="dxa"/>
          </w:tcPr>
          <w:p w14:paraId="3095F9DA"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Accreditation of VASP</w:t>
            </w:r>
          </w:p>
        </w:tc>
        <w:tc>
          <w:tcPr>
            <w:tcW w:w="1468" w:type="dxa"/>
          </w:tcPr>
          <w:p w14:paraId="049EDEC4" w14:textId="77777777" w:rsidR="001C5772" w:rsidRPr="00BE736B" w:rsidRDefault="001C5772" w:rsidP="00BE736B">
            <w:pPr>
              <w:ind w:right="720"/>
              <w:jc w:val="center"/>
              <w:rPr>
                <w:rFonts w:ascii="Calibri" w:hAnsi="Calibri" w:cs="Calibri"/>
                <w:sz w:val="20"/>
                <w:szCs w:val="20"/>
              </w:rPr>
            </w:pPr>
          </w:p>
        </w:tc>
      </w:tr>
      <w:tr w:rsidR="001C5772" w:rsidRPr="00BE736B" w14:paraId="73A00106" w14:textId="77777777" w:rsidTr="00BE736B">
        <w:tc>
          <w:tcPr>
            <w:tcW w:w="2058" w:type="dxa"/>
          </w:tcPr>
          <w:p w14:paraId="42D7F2BD"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Customs Memorandum Order (CMO) No. 29-2020</w:t>
            </w:r>
          </w:p>
          <w:p w14:paraId="71881BF7" w14:textId="77777777" w:rsidR="001C5772" w:rsidRPr="00BE736B" w:rsidRDefault="001C5772" w:rsidP="00BE736B">
            <w:pPr>
              <w:jc w:val="both"/>
              <w:rPr>
                <w:rFonts w:ascii="Calibri" w:hAnsi="Calibri" w:cs="Calibri"/>
                <w:sz w:val="20"/>
                <w:szCs w:val="20"/>
              </w:rPr>
            </w:pPr>
          </w:p>
        </w:tc>
        <w:tc>
          <w:tcPr>
            <w:tcW w:w="1874" w:type="dxa"/>
          </w:tcPr>
          <w:p w14:paraId="0DA5D4BC" w14:textId="77777777" w:rsidR="001C5772" w:rsidRPr="00BE736B" w:rsidRDefault="001C5772" w:rsidP="00BE736B">
            <w:pPr>
              <w:ind w:right="720"/>
              <w:jc w:val="center"/>
              <w:rPr>
                <w:rFonts w:ascii="Calibri" w:hAnsi="Calibri" w:cs="Calibri"/>
                <w:sz w:val="20"/>
                <w:szCs w:val="20"/>
              </w:rPr>
            </w:pPr>
          </w:p>
        </w:tc>
        <w:tc>
          <w:tcPr>
            <w:tcW w:w="3865" w:type="dxa"/>
          </w:tcPr>
          <w:p w14:paraId="2DDEE978"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Safeguard Duty on Imported Cement</w:t>
            </w:r>
          </w:p>
        </w:tc>
        <w:tc>
          <w:tcPr>
            <w:tcW w:w="1468" w:type="dxa"/>
          </w:tcPr>
          <w:p w14:paraId="5BAF6AC5" w14:textId="77777777" w:rsidR="001C5772" w:rsidRPr="00BE736B" w:rsidRDefault="001C5772" w:rsidP="00BE736B">
            <w:pPr>
              <w:ind w:right="720"/>
              <w:jc w:val="center"/>
              <w:rPr>
                <w:rFonts w:ascii="Calibri" w:hAnsi="Calibri" w:cs="Calibri"/>
                <w:sz w:val="20"/>
                <w:szCs w:val="20"/>
              </w:rPr>
            </w:pPr>
          </w:p>
        </w:tc>
      </w:tr>
      <w:tr w:rsidR="001C5772" w:rsidRPr="00BE736B" w14:paraId="2A121584" w14:textId="77777777" w:rsidTr="00BE736B">
        <w:tc>
          <w:tcPr>
            <w:tcW w:w="2058" w:type="dxa"/>
          </w:tcPr>
          <w:p w14:paraId="5C542DE0" w14:textId="77777777" w:rsidR="001C5772" w:rsidRPr="00BE736B" w:rsidRDefault="001C5772" w:rsidP="00BE736B">
            <w:pPr>
              <w:jc w:val="both"/>
              <w:rPr>
                <w:rFonts w:ascii="Calibri" w:hAnsi="Calibri" w:cs="Calibri"/>
                <w:sz w:val="20"/>
                <w:szCs w:val="20"/>
              </w:rPr>
            </w:pPr>
          </w:p>
          <w:p w14:paraId="2470DD64"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CMO No. 30-2020</w:t>
            </w:r>
          </w:p>
          <w:p w14:paraId="18EA1834" w14:textId="77777777" w:rsidR="001C5772" w:rsidRPr="00BE736B" w:rsidRDefault="001C5772" w:rsidP="00BE736B">
            <w:pPr>
              <w:jc w:val="both"/>
              <w:rPr>
                <w:rFonts w:ascii="Calibri" w:hAnsi="Calibri" w:cs="Calibri"/>
                <w:sz w:val="20"/>
                <w:szCs w:val="20"/>
              </w:rPr>
            </w:pPr>
          </w:p>
        </w:tc>
        <w:tc>
          <w:tcPr>
            <w:tcW w:w="1874" w:type="dxa"/>
          </w:tcPr>
          <w:p w14:paraId="67AF3251" w14:textId="77777777" w:rsidR="001C5772" w:rsidRPr="00BE736B" w:rsidRDefault="001C5772" w:rsidP="00BE736B">
            <w:pPr>
              <w:ind w:right="720"/>
              <w:jc w:val="center"/>
              <w:rPr>
                <w:rFonts w:ascii="Calibri" w:hAnsi="Calibri" w:cs="Calibri"/>
                <w:sz w:val="20"/>
                <w:szCs w:val="20"/>
              </w:rPr>
            </w:pPr>
          </w:p>
        </w:tc>
        <w:tc>
          <w:tcPr>
            <w:tcW w:w="3865" w:type="dxa"/>
          </w:tcPr>
          <w:p w14:paraId="472A4CCE" w14:textId="77777777" w:rsidR="001C5772" w:rsidRPr="00BE736B" w:rsidRDefault="001C5772" w:rsidP="00BE736B">
            <w:pPr>
              <w:rPr>
                <w:rFonts w:ascii="Calibri" w:hAnsi="Calibri" w:cs="Calibri"/>
                <w:bCs/>
                <w:sz w:val="20"/>
                <w:szCs w:val="20"/>
              </w:rPr>
            </w:pPr>
            <w:r w:rsidRPr="00BE736B">
              <w:rPr>
                <w:rFonts w:ascii="Calibri" w:hAnsi="Calibri" w:cs="Calibri"/>
                <w:bCs/>
                <w:sz w:val="20"/>
                <w:szCs w:val="20"/>
              </w:rPr>
              <w:t>Guidelines for the Implementation of the General Transport Surety Bond (GTSB) through Automated Bonds Management System (ABMS)</w:t>
            </w:r>
          </w:p>
          <w:p w14:paraId="3CD14C95" w14:textId="77777777" w:rsidR="001C5772" w:rsidRPr="00BE736B" w:rsidRDefault="001C5772" w:rsidP="00BE736B">
            <w:pPr>
              <w:ind w:right="720"/>
              <w:rPr>
                <w:rFonts w:ascii="Calibri" w:hAnsi="Calibri" w:cs="Calibri"/>
                <w:sz w:val="20"/>
                <w:szCs w:val="20"/>
              </w:rPr>
            </w:pPr>
          </w:p>
        </w:tc>
        <w:tc>
          <w:tcPr>
            <w:tcW w:w="1468" w:type="dxa"/>
          </w:tcPr>
          <w:p w14:paraId="4473D07D" w14:textId="77777777" w:rsidR="001C5772" w:rsidRPr="00BE736B" w:rsidRDefault="001C5772" w:rsidP="00BE736B">
            <w:pPr>
              <w:ind w:right="720"/>
              <w:jc w:val="center"/>
              <w:rPr>
                <w:rFonts w:ascii="Calibri" w:hAnsi="Calibri" w:cs="Calibri"/>
                <w:sz w:val="20"/>
                <w:szCs w:val="20"/>
              </w:rPr>
            </w:pPr>
          </w:p>
        </w:tc>
      </w:tr>
      <w:tr w:rsidR="001C5772" w:rsidRPr="00BE736B" w14:paraId="69170B0F" w14:textId="77777777" w:rsidTr="00BE736B">
        <w:tc>
          <w:tcPr>
            <w:tcW w:w="2058" w:type="dxa"/>
          </w:tcPr>
          <w:p w14:paraId="12D03515" w14:textId="77777777" w:rsidR="001C5772" w:rsidRPr="00BE736B" w:rsidRDefault="001C5772" w:rsidP="00BE736B">
            <w:pPr>
              <w:jc w:val="both"/>
              <w:rPr>
                <w:rFonts w:ascii="Calibri" w:hAnsi="Calibri" w:cs="Calibri"/>
                <w:sz w:val="20"/>
                <w:szCs w:val="20"/>
              </w:rPr>
            </w:pPr>
          </w:p>
          <w:p w14:paraId="58912F15" w14:textId="77777777" w:rsidR="001C5772" w:rsidRPr="00BE736B" w:rsidRDefault="001C5772" w:rsidP="00BE736B">
            <w:pPr>
              <w:jc w:val="both"/>
              <w:rPr>
                <w:rFonts w:ascii="Calibri" w:hAnsi="Calibri" w:cs="Calibri"/>
                <w:sz w:val="20"/>
                <w:szCs w:val="20"/>
              </w:rPr>
            </w:pPr>
          </w:p>
        </w:tc>
        <w:tc>
          <w:tcPr>
            <w:tcW w:w="1874" w:type="dxa"/>
          </w:tcPr>
          <w:p w14:paraId="54C82B45" w14:textId="77777777" w:rsidR="001C5772" w:rsidRPr="00BE736B" w:rsidRDefault="001C5772" w:rsidP="00BE736B">
            <w:pPr>
              <w:ind w:right="720"/>
              <w:jc w:val="center"/>
              <w:rPr>
                <w:rFonts w:ascii="Calibri" w:hAnsi="Calibri" w:cs="Calibri"/>
                <w:sz w:val="20"/>
                <w:szCs w:val="20"/>
              </w:rPr>
            </w:pPr>
          </w:p>
        </w:tc>
        <w:tc>
          <w:tcPr>
            <w:tcW w:w="3865" w:type="dxa"/>
          </w:tcPr>
          <w:p w14:paraId="1E30CC76" w14:textId="77777777" w:rsidR="001C5772" w:rsidRPr="00BE736B" w:rsidRDefault="001C5772" w:rsidP="00BE736B">
            <w:pPr>
              <w:jc w:val="both"/>
              <w:rPr>
                <w:rFonts w:ascii="Calibri" w:hAnsi="Calibri" w:cs="Calibri"/>
                <w:b/>
                <w:sz w:val="20"/>
                <w:szCs w:val="20"/>
              </w:rPr>
            </w:pPr>
          </w:p>
        </w:tc>
        <w:tc>
          <w:tcPr>
            <w:tcW w:w="1468" w:type="dxa"/>
          </w:tcPr>
          <w:p w14:paraId="51208EE7" w14:textId="77777777" w:rsidR="001C5772" w:rsidRPr="00BE736B" w:rsidRDefault="001C5772" w:rsidP="00BE736B">
            <w:pPr>
              <w:ind w:right="720"/>
              <w:jc w:val="center"/>
              <w:rPr>
                <w:rFonts w:ascii="Calibri" w:hAnsi="Calibri" w:cs="Calibri"/>
                <w:sz w:val="20"/>
                <w:szCs w:val="20"/>
              </w:rPr>
            </w:pPr>
          </w:p>
        </w:tc>
      </w:tr>
    </w:tbl>
    <w:p w14:paraId="341021CE" w14:textId="77777777" w:rsidR="001C5772" w:rsidRPr="00BE736B" w:rsidRDefault="001C5772" w:rsidP="001C5772">
      <w:pPr>
        <w:pStyle w:val="NoSpacing"/>
        <w:jc w:val="both"/>
        <w:rPr>
          <w:rFonts w:ascii="Calibri" w:hAnsi="Calibri" w:cs="Calibri"/>
          <w:sz w:val="20"/>
          <w:szCs w:val="20"/>
        </w:rPr>
      </w:pPr>
    </w:p>
    <w:tbl>
      <w:tblPr>
        <w:tblStyle w:val="TableGrid"/>
        <w:tblW w:w="0" w:type="auto"/>
        <w:tblInd w:w="85" w:type="dxa"/>
        <w:tblLook w:val="04A0" w:firstRow="1" w:lastRow="0" w:firstColumn="1" w:lastColumn="0" w:noHBand="0" w:noVBand="1"/>
      </w:tblPr>
      <w:tblGrid>
        <w:gridCol w:w="1620"/>
        <w:gridCol w:w="1800"/>
        <w:gridCol w:w="4680"/>
        <w:gridCol w:w="1165"/>
      </w:tblGrid>
      <w:tr w:rsidR="001C5772" w:rsidRPr="00BE736B" w14:paraId="5E8AC917" w14:textId="77777777" w:rsidTr="00BE736B">
        <w:tc>
          <w:tcPr>
            <w:tcW w:w="9265" w:type="dxa"/>
            <w:gridSpan w:val="4"/>
            <w:vAlign w:val="center"/>
          </w:tcPr>
          <w:p w14:paraId="69EDB021"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BOI ISSUANCE</w:t>
            </w:r>
          </w:p>
        </w:tc>
      </w:tr>
      <w:tr w:rsidR="001C5772" w:rsidRPr="00BE736B" w14:paraId="5287E1B6" w14:textId="77777777" w:rsidTr="00BE736B">
        <w:tc>
          <w:tcPr>
            <w:tcW w:w="1620" w:type="dxa"/>
            <w:vAlign w:val="center"/>
          </w:tcPr>
          <w:p w14:paraId="0D514ECD" w14:textId="77777777" w:rsidR="001C5772" w:rsidRPr="00BE736B" w:rsidRDefault="001C5772" w:rsidP="00BE736B">
            <w:pPr>
              <w:jc w:val="center"/>
              <w:rPr>
                <w:rFonts w:ascii="Calibri" w:hAnsi="Calibri" w:cs="Calibri"/>
                <w:b/>
                <w:bCs/>
                <w:sz w:val="20"/>
                <w:szCs w:val="20"/>
              </w:rPr>
            </w:pPr>
            <w:bookmarkStart w:id="0" w:name="_Hlk62545155"/>
            <w:r w:rsidRPr="00BE736B">
              <w:rPr>
                <w:rFonts w:ascii="Calibri" w:hAnsi="Calibri" w:cs="Calibri"/>
                <w:b/>
                <w:bCs/>
                <w:sz w:val="20"/>
                <w:szCs w:val="20"/>
              </w:rPr>
              <w:t>ISSUANCE</w:t>
            </w:r>
          </w:p>
        </w:tc>
        <w:tc>
          <w:tcPr>
            <w:tcW w:w="1800" w:type="dxa"/>
            <w:vAlign w:val="center"/>
          </w:tcPr>
          <w:p w14:paraId="0348C0FA"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DATE ISSUED</w:t>
            </w:r>
          </w:p>
        </w:tc>
        <w:tc>
          <w:tcPr>
            <w:tcW w:w="4680" w:type="dxa"/>
            <w:vAlign w:val="center"/>
          </w:tcPr>
          <w:p w14:paraId="191FFAA2"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SUBJECT</w:t>
            </w:r>
          </w:p>
        </w:tc>
        <w:tc>
          <w:tcPr>
            <w:tcW w:w="1165" w:type="dxa"/>
            <w:vAlign w:val="center"/>
          </w:tcPr>
          <w:p w14:paraId="7ADEDB16"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PAGE NO.</w:t>
            </w:r>
          </w:p>
        </w:tc>
      </w:tr>
      <w:bookmarkEnd w:id="0"/>
      <w:tr w:rsidR="001C5772" w:rsidRPr="00BE736B" w14:paraId="294A4D45" w14:textId="77777777" w:rsidTr="00BE736B">
        <w:tc>
          <w:tcPr>
            <w:tcW w:w="1620" w:type="dxa"/>
            <w:vAlign w:val="center"/>
          </w:tcPr>
          <w:p w14:paraId="41EAF3BC"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Memorandum Circular No. 2020-011</w:t>
            </w:r>
          </w:p>
        </w:tc>
        <w:tc>
          <w:tcPr>
            <w:tcW w:w="1800" w:type="dxa"/>
            <w:vAlign w:val="center"/>
          </w:tcPr>
          <w:p w14:paraId="6D954D5C"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October 15, 2020</w:t>
            </w:r>
          </w:p>
          <w:p w14:paraId="13C5A900"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(posted on BOI website on January 6, 2021)</w:t>
            </w:r>
          </w:p>
        </w:tc>
        <w:tc>
          <w:tcPr>
            <w:tcW w:w="4680" w:type="dxa"/>
            <w:vAlign w:val="center"/>
          </w:tcPr>
          <w:p w14:paraId="20F1321A"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One-year extension on the compliance of BOI-registered enterprises with the terms and conditions of their BOI-registered projects</w:t>
            </w:r>
          </w:p>
        </w:tc>
        <w:tc>
          <w:tcPr>
            <w:tcW w:w="1165" w:type="dxa"/>
            <w:vAlign w:val="center"/>
          </w:tcPr>
          <w:p w14:paraId="601BE5C3" w14:textId="77777777" w:rsidR="001C5772" w:rsidRPr="00BE736B" w:rsidRDefault="001C5772" w:rsidP="00BE736B">
            <w:pPr>
              <w:jc w:val="center"/>
              <w:rPr>
                <w:rFonts w:ascii="Calibri" w:hAnsi="Calibri" w:cs="Calibri"/>
                <w:sz w:val="20"/>
                <w:szCs w:val="20"/>
                <w:highlight w:val="yellow"/>
              </w:rPr>
            </w:pPr>
          </w:p>
        </w:tc>
      </w:tr>
      <w:tr w:rsidR="001C5772" w:rsidRPr="00BE736B" w14:paraId="1D221880" w14:textId="77777777" w:rsidTr="00BE736B">
        <w:tc>
          <w:tcPr>
            <w:tcW w:w="9265" w:type="dxa"/>
            <w:gridSpan w:val="4"/>
            <w:vAlign w:val="center"/>
          </w:tcPr>
          <w:p w14:paraId="22832B55" w14:textId="77777777" w:rsidR="001C5772" w:rsidRPr="00BE736B" w:rsidRDefault="001C5772" w:rsidP="00BE736B">
            <w:pPr>
              <w:jc w:val="center"/>
              <w:rPr>
                <w:rFonts w:ascii="Calibri" w:hAnsi="Calibri" w:cs="Calibri"/>
                <w:b/>
                <w:bCs/>
                <w:sz w:val="20"/>
                <w:szCs w:val="20"/>
                <w:highlight w:val="yellow"/>
              </w:rPr>
            </w:pPr>
            <w:r w:rsidRPr="00BE736B">
              <w:rPr>
                <w:rFonts w:ascii="Calibri" w:hAnsi="Calibri" w:cs="Calibri"/>
                <w:b/>
                <w:bCs/>
                <w:sz w:val="20"/>
                <w:szCs w:val="20"/>
              </w:rPr>
              <w:t>PEZA ISSUANCE</w:t>
            </w:r>
          </w:p>
        </w:tc>
      </w:tr>
      <w:tr w:rsidR="001C5772" w:rsidRPr="00BE736B" w14:paraId="64C0E2D6" w14:textId="77777777" w:rsidTr="00BE736B">
        <w:tc>
          <w:tcPr>
            <w:tcW w:w="1620" w:type="dxa"/>
            <w:vAlign w:val="center"/>
          </w:tcPr>
          <w:p w14:paraId="401297F4"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ISSUANCE</w:t>
            </w:r>
          </w:p>
        </w:tc>
        <w:tc>
          <w:tcPr>
            <w:tcW w:w="1800" w:type="dxa"/>
            <w:vAlign w:val="center"/>
          </w:tcPr>
          <w:p w14:paraId="245C40FC"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DATE ISSUED</w:t>
            </w:r>
          </w:p>
        </w:tc>
        <w:tc>
          <w:tcPr>
            <w:tcW w:w="4680" w:type="dxa"/>
            <w:vAlign w:val="center"/>
          </w:tcPr>
          <w:p w14:paraId="0235D91E"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SUBJECT</w:t>
            </w:r>
          </w:p>
        </w:tc>
        <w:tc>
          <w:tcPr>
            <w:tcW w:w="1165" w:type="dxa"/>
            <w:vAlign w:val="center"/>
          </w:tcPr>
          <w:p w14:paraId="66D71802"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PAGE NO.</w:t>
            </w:r>
          </w:p>
        </w:tc>
      </w:tr>
      <w:tr w:rsidR="001C5772" w:rsidRPr="00BE736B" w14:paraId="7091A930" w14:textId="77777777" w:rsidTr="00BE736B">
        <w:tc>
          <w:tcPr>
            <w:tcW w:w="1620" w:type="dxa"/>
            <w:vAlign w:val="center"/>
          </w:tcPr>
          <w:p w14:paraId="56CB21FA"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Memorandum Circular No. 2021-04</w:t>
            </w:r>
          </w:p>
        </w:tc>
        <w:tc>
          <w:tcPr>
            <w:tcW w:w="1800" w:type="dxa"/>
            <w:vAlign w:val="center"/>
          </w:tcPr>
          <w:p w14:paraId="49E365C9"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January 8, 2021</w:t>
            </w:r>
          </w:p>
        </w:tc>
        <w:tc>
          <w:tcPr>
            <w:tcW w:w="4680" w:type="dxa"/>
            <w:vAlign w:val="center"/>
          </w:tcPr>
          <w:p w14:paraId="33C4B46D"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Extension of MC No. 2020-011 Entitled "PEZA Assistance to Ecozone I.T. Enterprises in Responding to COVID-19 (Corona Virus Disease)"</w:t>
            </w:r>
          </w:p>
        </w:tc>
        <w:tc>
          <w:tcPr>
            <w:tcW w:w="1165" w:type="dxa"/>
            <w:vAlign w:val="center"/>
          </w:tcPr>
          <w:p w14:paraId="1C4A7C5C" w14:textId="77777777" w:rsidR="001C5772" w:rsidRPr="00BE736B" w:rsidRDefault="001C5772" w:rsidP="00BE736B">
            <w:pPr>
              <w:jc w:val="center"/>
              <w:rPr>
                <w:rFonts w:ascii="Calibri" w:hAnsi="Calibri" w:cs="Calibri"/>
                <w:sz w:val="20"/>
                <w:szCs w:val="20"/>
                <w:highlight w:val="yellow"/>
              </w:rPr>
            </w:pPr>
          </w:p>
        </w:tc>
      </w:tr>
      <w:tr w:rsidR="001C5772" w:rsidRPr="00BE736B" w14:paraId="0F52A0A6" w14:textId="77777777" w:rsidTr="00BE736B">
        <w:tc>
          <w:tcPr>
            <w:tcW w:w="1620" w:type="dxa"/>
            <w:vAlign w:val="center"/>
          </w:tcPr>
          <w:p w14:paraId="1F14997D" w14:textId="77777777" w:rsidR="001C5772" w:rsidRPr="00BE736B" w:rsidRDefault="001C5772" w:rsidP="00BE736B">
            <w:pPr>
              <w:jc w:val="center"/>
              <w:rPr>
                <w:rFonts w:ascii="Calibri" w:hAnsi="Calibri" w:cs="Calibri"/>
                <w:sz w:val="20"/>
                <w:szCs w:val="20"/>
              </w:rPr>
            </w:pPr>
          </w:p>
          <w:p w14:paraId="74511E68" w14:textId="77777777" w:rsidR="001C5772" w:rsidRPr="00BE736B" w:rsidRDefault="001C5772" w:rsidP="00BE736B">
            <w:pPr>
              <w:jc w:val="center"/>
              <w:rPr>
                <w:rFonts w:ascii="Calibri" w:hAnsi="Calibri" w:cs="Calibri"/>
                <w:sz w:val="20"/>
                <w:szCs w:val="20"/>
              </w:rPr>
            </w:pPr>
          </w:p>
        </w:tc>
        <w:tc>
          <w:tcPr>
            <w:tcW w:w="1800" w:type="dxa"/>
            <w:vAlign w:val="center"/>
          </w:tcPr>
          <w:p w14:paraId="67087F5A" w14:textId="77777777" w:rsidR="001C5772" w:rsidRPr="00BE736B" w:rsidRDefault="001C5772" w:rsidP="00BE736B">
            <w:pPr>
              <w:jc w:val="center"/>
              <w:rPr>
                <w:rFonts w:ascii="Calibri" w:hAnsi="Calibri" w:cs="Calibri"/>
                <w:sz w:val="20"/>
                <w:szCs w:val="20"/>
              </w:rPr>
            </w:pPr>
          </w:p>
        </w:tc>
        <w:tc>
          <w:tcPr>
            <w:tcW w:w="4680" w:type="dxa"/>
            <w:vAlign w:val="center"/>
          </w:tcPr>
          <w:p w14:paraId="4C0A9E66" w14:textId="77777777" w:rsidR="001C5772" w:rsidRPr="00BE736B" w:rsidRDefault="001C5772" w:rsidP="00BE736B">
            <w:pPr>
              <w:rPr>
                <w:rFonts w:ascii="Calibri" w:hAnsi="Calibri" w:cs="Calibri"/>
                <w:sz w:val="20"/>
                <w:szCs w:val="20"/>
              </w:rPr>
            </w:pPr>
          </w:p>
        </w:tc>
        <w:tc>
          <w:tcPr>
            <w:tcW w:w="1165" w:type="dxa"/>
            <w:vAlign w:val="center"/>
          </w:tcPr>
          <w:p w14:paraId="4E6B8ED0" w14:textId="77777777" w:rsidR="001C5772" w:rsidRPr="00BE736B" w:rsidRDefault="001C5772" w:rsidP="00BE736B">
            <w:pPr>
              <w:jc w:val="center"/>
              <w:rPr>
                <w:rFonts w:ascii="Calibri" w:hAnsi="Calibri" w:cs="Calibri"/>
                <w:sz w:val="20"/>
                <w:szCs w:val="20"/>
                <w:highlight w:val="yellow"/>
              </w:rPr>
            </w:pPr>
          </w:p>
        </w:tc>
      </w:tr>
      <w:tr w:rsidR="001C5772" w:rsidRPr="00BE736B" w14:paraId="76859017" w14:textId="77777777" w:rsidTr="00BE736B">
        <w:tc>
          <w:tcPr>
            <w:tcW w:w="9265" w:type="dxa"/>
            <w:gridSpan w:val="4"/>
            <w:vAlign w:val="center"/>
          </w:tcPr>
          <w:p w14:paraId="6FE9C709"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BSP ISSUANCE</w:t>
            </w:r>
          </w:p>
        </w:tc>
      </w:tr>
      <w:tr w:rsidR="001C5772" w:rsidRPr="00BE736B" w14:paraId="4AAB6FCE" w14:textId="77777777" w:rsidTr="00BE736B">
        <w:tc>
          <w:tcPr>
            <w:tcW w:w="1620" w:type="dxa"/>
            <w:vAlign w:val="center"/>
          </w:tcPr>
          <w:p w14:paraId="7CF5AAE1"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ISSUANCE</w:t>
            </w:r>
          </w:p>
        </w:tc>
        <w:tc>
          <w:tcPr>
            <w:tcW w:w="1800" w:type="dxa"/>
            <w:vAlign w:val="center"/>
          </w:tcPr>
          <w:p w14:paraId="77A9628F"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DATE ISSUED</w:t>
            </w:r>
          </w:p>
        </w:tc>
        <w:tc>
          <w:tcPr>
            <w:tcW w:w="4680" w:type="dxa"/>
            <w:vAlign w:val="center"/>
          </w:tcPr>
          <w:p w14:paraId="38370CA6"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SUBJECT</w:t>
            </w:r>
          </w:p>
        </w:tc>
        <w:tc>
          <w:tcPr>
            <w:tcW w:w="1165" w:type="dxa"/>
            <w:vAlign w:val="center"/>
          </w:tcPr>
          <w:p w14:paraId="32ED0A28"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PAGE NO.</w:t>
            </w:r>
          </w:p>
        </w:tc>
      </w:tr>
      <w:tr w:rsidR="001C5772" w:rsidRPr="00BE736B" w14:paraId="3532BFA3" w14:textId="77777777" w:rsidTr="00BE736B">
        <w:tc>
          <w:tcPr>
            <w:tcW w:w="1620" w:type="dxa"/>
            <w:vAlign w:val="center"/>
          </w:tcPr>
          <w:p w14:paraId="2DED126C"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 xml:space="preserve">Circular No. 1106 Restructured Service Fees for Bank’s Deposit </w:t>
            </w:r>
            <w:r w:rsidRPr="00BE736B">
              <w:rPr>
                <w:rFonts w:ascii="Calibri" w:hAnsi="Calibri" w:cs="Calibri"/>
                <w:sz w:val="20"/>
                <w:szCs w:val="20"/>
              </w:rPr>
              <w:lastRenderedPageBreak/>
              <w:t xml:space="preserve">and Withdrawal Transactions </w:t>
            </w:r>
          </w:p>
          <w:p w14:paraId="7AE871E0" w14:textId="77777777" w:rsidR="001C5772" w:rsidRPr="00BE736B" w:rsidRDefault="001C5772" w:rsidP="00BE736B">
            <w:pPr>
              <w:jc w:val="center"/>
              <w:rPr>
                <w:rFonts w:ascii="Calibri" w:hAnsi="Calibri" w:cs="Calibri"/>
                <w:sz w:val="20"/>
                <w:szCs w:val="20"/>
              </w:rPr>
            </w:pPr>
          </w:p>
        </w:tc>
        <w:tc>
          <w:tcPr>
            <w:tcW w:w="1800" w:type="dxa"/>
            <w:vAlign w:val="center"/>
          </w:tcPr>
          <w:p w14:paraId="4265AADE"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lastRenderedPageBreak/>
              <w:t>December 23, 2020</w:t>
            </w:r>
          </w:p>
        </w:tc>
        <w:tc>
          <w:tcPr>
            <w:tcW w:w="4680" w:type="dxa"/>
            <w:vAlign w:val="center"/>
          </w:tcPr>
          <w:p w14:paraId="5158D04D"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Restructured Service Fees for Bank’s Deposit and Withdrawal Transactions</w:t>
            </w:r>
          </w:p>
        </w:tc>
        <w:tc>
          <w:tcPr>
            <w:tcW w:w="1165" w:type="dxa"/>
            <w:vAlign w:val="center"/>
          </w:tcPr>
          <w:p w14:paraId="573C0904" w14:textId="77777777" w:rsidR="001C5772" w:rsidRPr="00BE736B" w:rsidRDefault="001C5772" w:rsidP="00BE736B">
            <w:pPr>
              <w:jc w:val="center"/>
              <w:rPr>
                <w:rFonts w:ascii="Calibri" w:hAnsi="Calibri" w:cs="Calibri"/>
                <w:sz w:val="20"/>
                <w:szCs w:val="20"/>
                <w:highlight w:val="yellow"/>
              </w:rPr>
            </w:pPr>
          </w:p>
        </w:tc>
      </w:tr>
      <w:tr w:rsidR="001C5772" w:rsidRPr="00BE736B" w14:paraId="49197A64" w14:textId="77777777" w:rsidTr="00BE736B">
        <w:tc>
          <w:tcPr>
            <w:tcW w:w="1620" w:type="dxa"/>
            <w:vAlign w:val="center"/>
          </w:tcPr>
          <w:p w14:paraId="76EE9A3E"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 xml:space="preserve">Circular No. 1107 Prudential Requirements for Designated Clearing and Settlement Banks </w:t>
            </w:r>
          </w:p>
          <w:p w14:paraId="3AA0280C" w14:textId="77777777" w:rsidR="001C5772" w:rsidRPr="00BE736B" w:rsidRDefault="001C5772" w:rsidP="00BE736B">
            <w:pPr>
              <w:jc w:val="both"/>
              <w:rPr>
                <w:rFonts w:ascii="Calibri" w:hAnsi="Calibri" w:cs="Calibri"/>
                <w:sz w:val="20"/>
                <w:szCs w:val="20"/>
              </w:rPr>
            </w:pPr>
          </w:p>
          <w:p w14:paraId="2D2D2103" w14:textId="77777777" w:rsidR="001C5772" w:rsidRPr="00BE736B" w:rsidRDefault="001C5772" w:rsidP="00BE736B">
            <w:pPr>
              <w:jc w:val="center"/>
              <w:rPr>
                <w:rFonts w:ascii="Calibri" w:hAnsi="Calibri" w:cs="Calibri"/>
                <w:sz w:val="20"/>
                <w:szCs w:val="20"/>
              </w:rPr>
            </w:pPr>
          </w:p>
        </w:tc>
        <w:tc>
          <w:tcPr>
            <w:tcW w:w="1800" w:type="dxa"/>
            <w:vAlign w:val="center"/>
          </w:tcPr>
          <w:p w14:paraId="375842F6"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December 23, 2020</w:t>
            </w:r>
          </w:p>
        </w:tc>
        <w:tc>
          <w:tcPr>
            <w:tcW w:w="4680" w:type="dxa"/>
            <w:vAlign w:val="center"/>
          </w:tcPr>
          <w:p w14:paraId="500DAD29"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Clearing and Settlement Banks</w:t>
            </w:r>
          </w:p>
        </w:tc>
        <w:tc>
          <w:tcPr>
            <w:tcW w:w="1165" w:type="dxa"/>
            <w:vAlign w:val="center"/>
          </w:tcPr>
          <w:p w14:paraId="37B8D6E9" w14:textId="77777777" w:rsidR="001C5772" w:rsidRPr="00BE736B" w:rsidRDefault="001C5772" w:rsidP="00BE736B">
            <w:pPr>
              <w:jc w:val="center"/>
              <w:rPr>
                <w:rFonts w:ascii="Calibri" w:hAnsi="Calibri" w:cs="Calibri"/>
                <w:sz w:val="20"/>
                <w:szCs w:val="20"/>
                <w:highlight w:val="yellow"/>
              </w:rPr>
            </w:pPr>
          </w:p>
        </w:tc>
      </w:tr>
      <w:tr w:rsidR="001C5772" w:rsidRPr="00BE736B" w14:paraId="553701CC" w14:textId="77777777" w:rsidTr="00BE736B">
        <w:tc>
          <w:tcPr>
            <w:tcW w:w="1620" w:type="dxa"/>
            <w:vAlign w:val="center"/>
          </w:tcPr>
          <w:p w14:paraId="71792EAF"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Memorandum No. 093: Amendment to Memorandum M-2020-080 dated 9 October 2020 on the Electronic Submission of the EPFS Monthly Report Template</w:t>
            </w:r>
          </w:p>
        </w:tc>
        <w:tc>
          <w:tcPr>
            <w:tcW w:w="1800" w:type="dxa"/>
            <w:vAlign w:val="center"/>
          </w:tcPr>
          <w:p w14:paraId="5100E00A"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December 16, 2020</w:t>
            </w:r>
          </w:p>
        </w:tc>
        <w:tc>
          <w:tcPr>
            <w:tcW w:w="4680" w:type="dxa"/>
            <w:vAlign w:val="center"/>
          </w:tcPr>
          <w:p w14:paraId="299FD233" w14:textId="77777777" w:rsidR="001C5772" w:rsidRPr="00BE736B" w:rsidRDefault="001C5772" w:rsidP="00BE736B">
            <w:pPr>
              <w:rPr>
                <w:rFonts w:ascii="Calibri" w:hAnsi="Calibri" w:cs="Calibri"/>
                <w:sz w:val="20"/>
                <w:szCs w:val="20"/>
              </w:rPr>
            </w:pPr>
          </w:p>
        </w:tc>
        <w:tc>
          <w:tcPr>
            <w:tcW w:w="1165" w:type="dxa"/>
            <w:vAlign w:val="center"/>
          </w:tcPr>
          <w:p w14:paraId="734FBDF3" w14:textId="77777777" w:rsidR="001C5772" w:rsidRPr="00BE736B" w:rsidRDefault="001C5772" w:rsidP="00BE736B">
            <w:pPr>
              <w:jc w:val="center"/>
              <w:rPr>
                <w:rFonts w:ascii="Calibri" w:hAnsi="Calibri" w:cs="Calibri"/>
                <w:sz w:val="20"/>
                <w:szCs w:val="20"/>
                <w:highlight w:val="yellow"/>
              </w:rPr>
            </w:pPr>
          </w:p>
        </w:tc>
      </w:tr>
      <w:tr w:rsidR="001C5772" w:rsidRPr="00BE736B" w14:paraId="3233FDCA" w14:textId="77777777" w:rsidTr="00BE736B">
        <w:tc>
          <w:tcPr>
            <w:tcW w:w="1620" w:type="dxa"/>
            <w:vAlign w:val="center"/>
          </w:tcPr>
          <w:p w14:paraId="3A4CC5F4"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Memorandum No. 094: Single Reserve Week from 18 to 31 December 2020 and the Corresponding Computation for the Single Reserve Week</w:t>
            </w:r>
          </w:p>
          <w:p w14:paraId="2E52E920" w14:textId="77777777" w:rsidR="001C5772" w:rsidRPr="00BE736B" w:rsidRDefault="001C5772" w:rsidP="00BE736B">
            <w:pPr>
              <w:jc w:val="center"/>
              <w:rPr>
                <w:rFonts w:ascii="Calibri" w:hAnsi="Calibri" w:cs="Calibri"/>
                <w:sz w:val="20"/>
                <w:szCs w:val="20"/>
              </w:rPr>
            </w:pPr>
          </w:p>
        </w:tc>
        <w:tc>
          <w:tcPr>
            <w:tcW w:w="1800" w:type="dxa"/>
            <w:vAlign w:val="center"/>
          </w:tcPr>
          <w:p w14:paraId="3DC62F0A"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December 18, 2020</w:t>
            </w:r>
          </w:p>
        </w:tc>
        <w:tc>
          <w:tcPr>
            <w:tcW w:w="4680" w:type="dxa"/>
            <w:vAlign w:val="center"/>
          </w:tcPr>
          <w:p w14:paraId="7707783C"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Single Reserve Week</w:t>
            </w:r>
          </w:p>
        </w:tc>
        <w:tc>
          <w:tcPr>
            <w:tcW w:w="1165" w:type="dxa"/>
            <w:vAlign w:val="center"/>
          </w:tcPr>
          <w:p w14:paraId="749C7B52" w14:textId="77777777" w:rsidR="001C5772" w:rsidRPr="00BE736B" w:rsidRDefault="001C5772" w:rsidP="00BE736B">
            <w:pPr>
              <w:jc w:val="center"/>
              <w:rPr>
                <w:rFonts w:ascii="Calibri" w:hAnsi="Calibri" w:cs="Calibri"/>
                <w:sz w:val="20"/>
                <w:szCs w:val="20"/>
                <w:highlight w:val="yellow"/>
              </w:rPr>
            </w:pPr>
          </w:p>
        </w:tc>
      </w:tr>
      <w:tr w:rsidR="001C5772" w:rsidRPr="00BE736B" w14:paraId="0D076FBC" w14:textId="77777777" w:rsidTr="00BE736B">
        <w:tc>
          <w:tcPr>
            <w:tcW w:w="1620" w:type="dxa"/>
            <w:vAlign w:val="center"/>
          </w:tcPr>
          <w:p w14:paraId="0F9BF1BF"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 xml:space="preserve">Memorandum No. 095: Extension of the Temporary Relief Measure on the Transactions with </w:t>
            </w:r>
            <w:proofErr w:type="spellStart"/>
            <w:r w:rsidRPr="00BE736B">
              <w:rPr>
                <w:rFonts w:ascii="Calibri" w:hAnsi="Calibri" w:cs="Calibri"/>
                <w:sz w:val="20"/>
                <w:szCs w:val="20"/>
              </w:rPr>
              <w:t>PhilPaSS</w:t>
            </w:r>
            <w:proofErr w:type="spellEnd"/>
            <w:r w:rsidRPr="00BE736B">
              <w:rPr>
                <w:rFonts w:ascii="Calibri" w:hAnsi="Calibri" w:cs="Calibri"/>
                <w:sz w:val="20"/>
                <w:szCs w:val="20"/>
              </w:rPr>
              <w:t xml:space="preserve"> until the Last Business Day of Year 2021</w:t>
            </w:r>
          </w:p>
          <w:p w14:paraId="6C95EB2D" w14:textId="77777777" w:rsidR="001C5772" w:rsidRPr="00BE736B" w:rsidRDefault="001C5772" w:rsidP="00BE736B">
            <w:pPr>
              <w:jc w:val="center"/>
              <w:rPr>
                <w:rFonts w:ascii="Calibri" w:hAnsi="Calibri" w:cs="Calibri"/>
                <w:sz w:val="20"/>
                <w:szCs w:val="20"/>
              </w:rPr>
            </w:pPr>
          </w:p>
        </w:tc>
        <w:tc>
          <w:tcPr>
            <w:tcW w:w="1800" w:type="dxa"/>
            <w:vAlign w:val="center"/>
          </w:tcPr>
          <w:p w14:paraId="4E6BFF6E"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December 16, 2020</w:t>
            </w:r>
          </w:p>
        </w:tc>
        <w:tc>
          <w:tcPr>
            <w:tcW w:w="4680" w:type="dxa"/>
            <w:vAlign w:val="center"/>
          </w:tcPr>
          <w:p w14:paraId="2032EFF6"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Extension of temporary relief measures on </w:t>
            </w:r>
            <w:proofErr w:type="spellStart"/>
            <w:r w:rsidRPr="00BE736B">
              <w:rPr>
                <w:rFonts w:ascii="Calibri" w:hAnsi="Calibri" w:cs="Calibri"/>
                <w:sz w:val="20"/>
                <w:szCs w:val="20"/>
              </w:rPr>
              <w:t>PhilPaSS</w:t>
            </w:r>
            <w:proofErr w:type="spellEnd"/>
            <w:r w:rsidRPr="00BE736B">
              <w:rPr>
                <w:rFonts w:ascii="Calibri" w:hAnsi="Calibri" w:cs="Calibri"/>
                <w:sz w:val="20"/>
                <w:szCs w:val="20"/>
              </w:rPr>
              <w:t xml:space="preserve"> transactions</w:t>
            </w:r>
          </w:p>
        </w:tc>
        <w:tc>
          <w:tcPr>
            <w:tcW w:w="1165" w:type="dxa"/>
            <w:vAlign w:val="center"/>
          </w:tcPr>
          <w:p w14:paraId="5D2C7167" w14:textId="77777777" w:rsidR="001C5772" w:rsidRPr="00BE736B" w:rsidRDefault="001C5772" w:rsidP="00BE736B">
            <w:pPr>
              <w:jc w:val="center"/>
              <w:rPr>
                <w:rFonts w:ascii="Calibri" w:hAnsi="Calibri" w:cs="Calibri"/>
                <w:sz w:val="20"/>
                <w:szCs w:val="20"/>
                <w:highlight w:val="yellow"/>
              </w:rPr>
            </w:pPr>
          </w:p>
        </w:tc>
      </w:tr>
      <w:tr w:rsidR="001C5772" w:rsidRPr="00BE736B" w14:paraId="4AC59969" w14:textId="77777777" w:rsidTr="00BE736B">
        <w:tc>
          <w:tcPr>
            <w:tcW w:w="1620" w:type="dxa"/>
            <w:vAlign w:val="center"/>
          </w:tcPr>
          <w:p w14:paraId="715647AD"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 xml:space="preserve">Memorandum No. 096 dated: Availability and Security of Automated Teller Machines </w:t>
            </w:r>
            <w:r w:rsidRPr="00BE736B">
              <w:rPr>
                <w:rFonts w:ascii="Calibri" w:hAnsi="Calibri" w:cs="Calibri"/>
                <w:sz w:val="20"/>
                <w:szCs w:val="20"/>
              </w:rPr>
              <w:lastRenderedPageBreak/>
              <w:t>(ATMs) and Digital Financial Services (DFS)</w:t>
            </w:r>
          </w:p>
          <w:p w14:paraId="1608A386" w14:textId="77777777" w:rsidR="001C5772" w:rsidRPr="00BE736B" w:rsidRDefault="001C5772" w:rsidP="00BE736B">
            <w:pPr>
              <w:jc w:val="center"/>
              <w:rPr>
                <w:rFonts w:ascii="Calibri" w:hAnsi="Calibri" w:cs="Calibri"/>
                <w:sz w:val="20"/>
                <w:szCs w:val="20"/>
              </w:rPr>
            </w:pPr>
          </w:p>
        </w:tc>
        <w:tc>
          <w:tcPr>
            <w:tcW w:w="1800" w:type="dxa"/>
            <w:vAlign w:val="center"/>
          </w:tcPr>
          <w:p w14:paraId="6475FFE7"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lastRenderedPageBreak/>
              <w:t>December 21, 2020</w:t>
            </w:r>
          </w:p>
        </w:tc>
        <w:tc>
          <w:tcPr>
            <w:tcW w:w="4680" w:type="dxa"/>
            <w:vAlign w:val="center"/>
          </w:tcPr>
          <w:p w14:paraId="1DE731EA"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ATMs and DFS</w:t>
            </w:r>
          </w:p>
        </w:tc>
        <w:tc>
          <w:tcPr>
            <w:tcW w:w="1165" w:type="dxa"/>
            <w:vAlign w:val="center"/>
          </w:tcPr>
          <w:p w14:paraId="49728E30" w14:textId="77777777" w:rsidR="001C5772" w:rsidRPr="00BE736B" w:rsidRDefault="001C5772" w:rsidP="00BE736B">
            <w:pPr>
              <w:jc w:val="center"/>
              <w:rPr>
                <w:rFonts w:ascii="Calibri" w:hAnsi="Calibri" w:cs="Calibri"/>
                <w:sz w:val="20"/>
                <w:szCs w:val="20"/>
                <w:highlight w:val="yellow"/>
              </w:rPr>
            </w:pPr>
          </w:p>
        </w:tc>
      </w:tr>
      <w:tr w:rsidR="001C5772" w:rsidRPr="00BE736B" w14:paraId="5CD01200" w14:textId="77777777" w:rsidTr="00BE736B">
        <w:tc>
          <w:tcPr>
            <w:tcW w:w="1620" w:type="dxa"/>
            <w:vAlign w:val="center"/>
          </w:tcPr>
          <w:p w14:paraId="199B200C"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Memorandum No. 097: Guidelines on the Submission of Quarterly Report on Appraised Commercial Properties (QRACP) for the Generation of the Commercial Property Price Index (CPPI)</w:t>
            </w:r>
          </w:p>
          <w:p w14:paraId="6F292A19" w14:textId="77777777" w:rsidR="001C5772" w:rsidRPr="00BE736B" w:rsidRDefault="001C5772" w:rsidP="00BE736B">
            <w:pPr>
              <w:jc w:val="center"/>
              <w:rPr>
                <w:rFonts w:ascii="Calibri" w:hAnsi="Calibri" w:cs="Calibri"/>
                <w:sz w:val="20"/>
                <w:szCs w:val="20"/>
              </w:rPr>
            </w:pPr>
          </w:p>
        </w:tc>
        <w:tc>
          <w:tcPr>
            <w:tcW w:w="1800" w:type="dxa"/>
            <w:vAlign w:val="center"/>
          </w:tcPr>
          <w:p w14:paraId="1940F4B3"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December 28, 2020</w:t>
            </w:r>
          </w:p>
        </w:tc>
        <w:tc>
          <w:tcPr>
            <w:tcW w:w="4680" w:type="dxa"/>
            <w:vAlign w:val="center"/>
          </w:tcPr>
          <w:p w14:paraId="6BF834FE"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Commercial Property Quarterly Report</w:t>
            </w:r>
          </w:p>
        </w:tc>
        <w:tc>
          <w:tcPr>
            <w:tcW w:w="1165" w:type="dxa"/>
            <w:vAlign w:val="center"/>
          </w:tcPr>
          <w:p w14:paraId="2C15D66E" w14:textId="77777777" w:rsidR="001C5772" w:rsidRPr="00BE736B" w:rsidRDefault="001C5772" w:rsidP="00BE736B">
            <w:pPr>
              <w:jc w:val="center"/>
              <w:rPr>
                <w:rFonts w:ascii="Calibri" w:hAnsi="Calibri" w:cs="Calibri"/>
                <w:sz w:val="20"/>
                <w:szCs w:val="20"/>
                <w:highlight w:val="yellow"/>
              </w:rPr>
            </w:pPr>
          </w:p>
        </w:tc>
      </w:tr>
      <w:tr w:rsidR="001C5772" w:rsidRPr="00BE736B" w14:paraId="67CA838E" w14:textId="77777777" w:rsidTr="00BE736B">
        <w:tc>
          <w:tcPr>
            <w:tcW w:w="1620" w:type="dxa"/>
            <w:vAlign w:val="center"/>
          </w:tcPr>
          <w:p w14:paraId="354F7440"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Memorandum No. 001: Amendments to the Standard Operating Procedures for Philippine Holidays</w:t>
            </w:r>
          </w:p>
          <w:p w14:paraId="442B8474" w14:textId="77777777" w:rsidR="001C5772" w:rsidRPr="00BE736B" w:rsidRDefault="001C5772" w:rsidP="00BE736B">
            <w:pPr>
              <w:jc w:val="center"/>
              <w:rPr>
                <w:rFonts w:ascii="Calibri" w:hAnsi="Calibri" w:cs="Calibri"/>
                <w:sz w:val="20"/>
                <w:szCs w:val="20"/>
              </w:rPr>
            </w:pPr>
          </w:p>
        </w:tc>
        <w:tc>
          <w:tcPr>
            <w:tcW w:w="1800" w:type="dxa"/>
            <w:vAlign w:val="center"/>
          </w:tcPr>
          <w:p w14:paraId="548541BD"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January 11, 2021</w:t>
            </w:r>
          </w:p>
        </w:tc>
        <w:tc>
          <w:tcPr>
            <w:tcW w:w="4680" w:type="dxa"/>
            <w:vAlign w:val="center"/>
          </w:tcPr>
          <w:p w14:paraId="1737C335"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SOP for Philippine Holidays</w:t>
            </w:r>
          </w:p>
        </w:tc>
        <w:tc>
          <w:tcPr>
            <w:tcW w:w="1165" w:type="dxa"/>
            <w:vAlign w:val="center"/>
          </w:tcPr>
          <w:p w14:paraId="51489009" w14:textId="77777777" w:rsidR="001C5772" w:rsidRPr="00BE736B" w:rsidRDefault="001C5772" w:rsidP="00BE736B">
            <w:pPr>
              <w:jc w:val="center"/>
              <w:rPr>
                <w:rFonts w:ascii="Calibri" w:hAnsi="Calibri" w:cs="Calibri"/>
                <w:sz w:val="20"/>
                <w:szCs w:val="20"/>
                <w:highlight w:val="yellow"/>
              </w:rPr>
            </w:pPr>
          </w:p>
        </w:tc>
      </w:tr>
      <w:tr w:rsidR="001C5772" w:rsidRPr="00BE736B" w14:paraId="292916E9" w14:textId="77777777" w:rsidTr="00BE736B">
        <w:tc>
          <w:tcPr>
            <w:tcW w:w="1620" w:type="dxa"/>
            <w:vAlign w:val="center"/>
          </w:tcPr>
          <w:p w14:paraId="5F25DA11"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Memorandum No. 002: Regulatory Relief on the Non-imposition of Sanctions for Breach in Single Borrower’s Limit by Foreign Bank Branches Established Prior to Republic Act No. 10641</w:t>
            </w:r>
          </w:p>
          <w:p w14:paraId="4A2BA534" w14:textId="77777777" w:rsidR="001C5772" w:rsidRPr="00BE736B" w:rsidRDefault="001C5772" w:rsidP="00BE736B">
            <w:pPr>
              <w:jc w:val="center"/>
              <w:rPr>
                <w:rFonts w:ascii="Calibri" w:hAnsi="Calibri" w:cs="Calibri"/>
                <w:sz w:val="20"/>
                <w:szCs w:val="20"/>
              </w:rPr>
            </w:pPr>
          </w:p>
        </w:tc>
        <w:tc>
          <w:tcPr>
            <w:tcW w:w="1800" w:type="dxa"/>
            <w:vAlign w:val="center"/>
          </w:tcPr>
          <w:p w14:paraId="076D8C5E"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January 4, 2021</w:t>
            </w:r>
          </w:p>
        </w:tc>
        <w:tc>
          <w:tcPr>
            <w:tcW w:w="4680" w:type="dxa"/>
            <w:vAlign w:val="center"/>
          </w:tcPr>
          <w:p w14:paraId="10AEA8C6"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Single Borrower’s Limit</w:t>
            </w:r>
          </w:p>
        </w:tc>
        <w:tc>
          <w:tcPr>
            <w:tcW w:w="1165" w:type="dxa"/>
            <w:vAlign w:val="center"/>
          </w:tcPr>
          <w:p w14:paraId="178D775E" w14:textId="77777777" w:rsidR="001C5772" w:rsidRPr="00BE736B" w:rsidRDefault="001C5772" w:rsidP="00BE736B">
            <w:pPr>
              <w:jc w:val="center"/>
              <w:rPr>
                <w:rFonts w:ascii="Calibri" w:hAnsi="Calibri" w:cs="Calibri"/>
                <w:sz w:val="20"/>
                <w:szCs w:val="20"/>
                <w:highlight w:val="yellow"/>
              </w:rPr>
            </w:pPr>
          </w:p>
        </w:tc>
      </w:tr>
      <w:tr w:rsidR="001C5772" w:rsidRPr="00BE736B" w14:paraId="3B7DA1B5" w14:textId="77777777" w:rsidTr="00BE736B">
        <w:tc>
          <w:tcPr>
            <w:tcW w:w="1620" w:type="dxa"/>
            <w:vAlign w:val="center"/>
          </w:tcPr>
          <w:p w14:paraId="2860A03E"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 xml:space="preserve">Memorandum No. 003: Guidelines on the Electronic Submission of the Report on Reclassification of Debt Securities (RRDS) </w:t>
            </w:r>
            <w:r w:rsidRPr="00BE736B">
              <w:rPr>
                <w:rFonts w:ascii="Calibri" w:hAnsi="Calibri" w:cs="Calibri"/>
                <w:sz w:val="20"/>
                <w:szCs w:val="20"/>
              </w:rPr>
              <w:lastRenderedPageBreak/>
              <w:t>Out of the Fair Value Category</w:t>
            </w:r>
          </w:p>
          <w:p w14:paraId="1DF03BD3" w14:textId="77777777" w:rsidR="001C5772" w:rsidRPr="00BE736B" w:rsidRDefault="001C5772" w:rsidP="00BE736B">
            <w:pPr>
              <w:jc w:val="center"/>
              <w:rPr>
                <w:rFonts w:ascii="Calibri" w:hAnsi="Calibri" w:cs="Calibri"/>
                <w:sz w:val="20"/>
                <w:szCs w:val="20"/>
              </w:rPr>
            </w:pPr>
          </w:p>
        </w:tc>
        <w:tc>
          <w:tcPr>
            <w:tcW w:w="1800" w:type="dxa"/>
            <w:vAlign w:val="center"/>
          </w:tcPr>
          <w:p w14:paraId="2433C434"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lastRenderedPageBreak/>
              <w:t>January 8, 2021</w:t>
            </w:r>
          </w:p>
        </w:tc>
        <w:tc>
          <w:tcPr>
            <w:tcW w:w="4680" w:type="dxa"/>
            <w:vAlign w:val="center"/>
          </w:tcPr>
          <w:p w14:paraId="70FABB5B"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Report on Reclassification of Debt Securities</w:t>
            </w:r>
          </w:p>
        </w:tc>
        <w:tc>
          <w:tcPr>
            <w:tcW w:w="1165" w:type="dxa"/>
            <w:vAlign w:val="center"/>
          </w:tcPr>
          <w:p w14:paraId="5DF2824D" w14:textId="77777777" w:rsidR="001C5772" w:rsidRPr="00BE736B" w:rsidRDefault="001C5772" w:rsidP="00BE736B">
            <w:pPr>
              <w:jc w:val="center"/>
              <w:rPr>
                <w:rFonts w:ascii="Calibri" w:hAnsi="Calibri" w:cs="Calibri"/>
                <w:sz w:val="20"/>
                <w:szCs w:val="20"/>
                <w:highlight w:val="yellow"/>
              </w:rPr>
            </w:pPr>
          </w:p>
        </w:tc>
      </w:tr>
      <w:tr w:rsidR="001C5772" w:rsidRPr="00BE736B" w14:paraId="48977997" w14:textId="77777777" w:rsidTr="00BE736B">
        <w:tc>
          <w:tcPr>
            <w:tcW w:w="1620" w:type="dxa"/>
            <w:vAlign w:val="center"/>
          </w:tcPr>
          <w:p w14:paraId="5DB17F82"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Memorandum No. 004: Retention of Existing Procedures on Deposits and Withdrawals</w:t>
            </w:r>
          </w:p>
          <w:p w14:paraId="7D75877F" w14:textId="77777777" w:rsidR="001C5772" w:rsidRPr="00BE736B" w:rsidRDefault="001C5772" w:rsidP="00BE736B">
            <w:pPr>
              <w:jc w:val="center"/>
              <w:rPr>
                <w:rFonts w:ascii="Calibri" w:hAnsi="Calibri" w:cs="Calibri"/>
                <w:sz w:val="20"/>
                <w:szCs w:val="20"/>
              </w:rPr>
            </w:pPr>
          </w:p>
        </w:tc>
        <w:tc>
          <w:tcPr>
            <w:tcW w:w="1800" w:type="dxa"/>
            <w:vAlign w:val="center"/>
          </w:tcPr>
          <w:p w14:paraId="20DC1B35"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January 11, 2021</w:t>
            </w:r>
          </w:p>
        </w:tc>
        <w:tc>
          <w:tcPr>
            <w:tcW w:w="4680" w:type="dxa"/>
            <w:vAlign w:val="center"/>
          </w:tcPr>
          <w:p w14:paraId="370C94B3"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 xml:space="preserve">Deposits and </w:t>
            </w:r>
            <w:proofErr w:type="spellStart"/>
            <w:r w:rsidRPr="00BE736B">
              <w:rPr>
                <w:rFonts w:ascii="Calibri" w:hAnsi="Calibri" w:cs="Calibri"/>
                <w:sz w:val="20"/>
                <w:szCs w:val="20"/>
              </w:rPr>
              <w:t>withhdrawals</w:t>
            </w:r>
            <w:proofErr w:type="spellEnd"/>
          </w:p>
        </w:tc>
        <w:tc>
          <w:tcPr>
            <w:tcW w:w="1165" w:type="dxa"/>
            <w:vAlign w:val="center"/>
          </w:tcPr>
          <w:p w14:paraId="78B165B3" w14:textId="77777777" w:rsidR="001C5772" w:rsidRPr="00BE736B" w:rsidRDefault="001C5772" w:rsidP="00BE736B">
            <w:pPr>
              <w:jc w:val="center"/>
              <w:rPr>
                <w:rFonts w:ascii="Calibri" w:hAnsi="Calibri" w:cs="Calibri"/>
                <w:sz w:val="20"/>
                <w:szCs w:val="20"/>
                <w:highlight w:val="yellow"/>
              </w:rPr>
            </w:pPr>
          </w:p>
        </w:tc>
      </w:tr>
      <w:tr w:rsidR="001C5772" w:rsidRPr="00BE736B" w14:paraId="179F4EBA" w14:textId="77777777" w:rsidTr="00BE736B">
        <w:tc>
          <w:tcPr>
            <w:tcW w:w="1620" w:type="dxa"/>
            <w:vAlign w:val="center"/>
          </w:tcPr>
          <w:p w14:paraId="76206F8B"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Memorandum No. 005: Report on the Risk Assessment of Cash, Cross-Border and Cross-Sector Transactions</w:t>
            </w:r>
          </w:p>
          <w:p w14:paraId="55641198" w14:textId="77777777" w:rsidR="001C5772" w:rsidRPr="00BE736B" w:rsidRDefault="001C5772" w:rsidP="00BE736B">
            <w:pPr>
              <w:jc w:val="center"/>
              <w:rPr>
                <w:rFonts w:ascii="Calibri" w:hAnsi="Calibri" w:cs="Calibri"/>
                <w:sz w:val="20"/>
                <w:szCs w:val="20"/>
              </w:rPr>
            </w:pPr>
          </w:p>
        </w:tc>
        <w:tc>
          <w:tcPr>
            <w:tcW w:w="1800" w:type="dxa"/>
            <w:vAlign w:val="center"/>
          </w:tcPr>
          <w:p w14:paraId="7B03D5D9"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January 13, 2021</w:t>
            </w:r>
          </w:p>
        </w:tc>
        <w:tc>
          <w:tcPr>
            <w:tcW w:w="4680" w:type="dxa"/>
            <w:vAlign w:val="center"/>
          </w:tcPr>
          <w:p w14:paraId="5D2FD9AB"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Risk Assessment</w:t>
            </w:r>
          </w:p>
        </w:tc>
        <w:tc>
          <w:tcPr>
            <w:tcW w:w="1165" w:type="dxa"/>
            <w:vAlign w:val="center"/>
          </w:tcPr>
          <w:p w14:paraId="0FBE6E6F" w14:textId="77777777" w:rsidR="001C5772" w:rsidRPr="00BE736B" w:rsidRDefault="001C5772" w:rsidP="00BE736B">
            <w:pPr>
              <w:jc w:val="center"/>
              <w:rPr>
                <w:rFonts w:ascii="Calibri" w:hAnsi="Calibri" w:cs="Calibri"/>
                <w:sz w:val="20"/>
                <w:szCs w:val="20"/>
                <w:highlight w:val="yellow"/>
              </w:rPr>
            </w:pPr>
          </w:p>
        </w:tc>
      </w:tr>
      <w:tr w:rsidR="001C5772" w:rsidRPr="00BE736B" w14:paraId="65A24549" w14:textId="77777777" w:rsidTr="00BE736B">
        <w:tc>
          <w:tcPr>
            <w:tcW w:w="1620" w:type="dxa"/>
            <w:vAlign w:val="center"/>
          </w:tcPr>
          <w:p w14:paraId="559BE41A"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Memorandum No. 006: Advisory on Organization Changes in the Payments and Currency Management Operations Sub-Sector</w:t>
            </w:r>
          </w:p>
          <w:p w14:paraId="588A8B91" w14:textId="77777777" w:rsidR="001C5772" w:rsidRPr="00BE736B" w:rsidRDefault="001C5772" w:rsidP="00BE736B">
            <w:pPr>
              <w:jc w:val="center"/>
              <w:rPr>
                <w:rFonts w:ascii="Calibri" w:hAnsi="Calibri" w:cs="Calibri"/>
                <w:sz w:val="20"/>
                <w:szCs w:val="20"/>
              </w:rPr>
            </w:pPr>
          </w:p>
        </w:tc>
        <w:tc>
          <w:tcPr>
            <w:tcW w:w="1800" w:type="dxa"/>
            <w:vAlign w:val="center"/>
          </w:tcPr>
          <w:p w14:paraId="56191683"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January 14, 2021</w:t>
            </w:r>
          </w:p>
        </w:tc>
        <w:tc>
          <w:tcPr>
            <w:tcW w:w="4680" w:type="dxa"/>
            <w:vAlign w:val="center"/>
          </w:tcPr>
          <w:p w14:paraId="1B817B74"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Payments and Currency Management Operations</w:t>
            </w:r>
          </w:p>
        </w:tc>
        <w:tc>
          <w:tcPr>
            <w:tcW w:w="1165" w:type="dxa"/>
            <w:vAlign w:val="center"/>
          </w:tcPr>
          <w:p w14:paraId="5169DF24" w14:textId="77777777" w:rsidR="001C5772" w:rsidRPr="00BE736B" w:rsidRDefault="001C5772" w:rsidP="00BE736B">
            <w:pPr>
              <w:jc w:val="center"/>
              <w:rPr>
                <w:rFonts w:ascii="Calibri" w:hAnsi="Calibri" w:cs="Calibri"/>
                <w:sz w:val="20"/>
                <w:szCs w:val="20"/>
                <w:highlight w:val="yellow"/>
              </w:rPr>
            </w:pPr>
          </w:p>
        </w:tc>
      </w:tr>
    </w:tbl>
    <w:p w14:paraId="1D49003A" w14:textId="77777777" w:rsidR="001C5772" w:rsidRPr="00BE736B" w:rsidRDefault="001C5772" w:rsidP="001C5772">
      <w:pPr>
        <w:pStyle w:val="NoSpacing"/>
        <w:jc w:val="both"/>
        <w:rPr>
          <w:rFonts w:ascii="Calibri" w:hAnsi="Calibri" w:cs="Calibri"/>
          <w:sz w:val="20"/>
          <w:szCs w:val="20"/>
        </w:rPr>
      </w:pPr>
      <w:r w:rsidRPr="00BE736B">
        <w:rPr>
          <w:rFonts w:ascii="Calibri" w:hAnsi="Calibri" w:cs="Calibri"/>
          <w:sz w:val="20"/>
          <w:szCs w:val="20"/>
        </w:rPr>
        <w:t xml:space="preserve"> </w:t>
      </w:r>
    </w:p>
    <w:p w14:paraId="149A6A78" w14:textId="77777777" w:rsidR="001C5772" w:rsidRPr="00BE736B" w:rsidRDefault="001C5772" w:rsidP="001C5772">
      <w:pPr>
        <w:tabs>
          <w:tab w:val="center" w:pos="4680"/>
          <w:tab w:val="left" w:pos="5880"/>
        </w:tabs>
        <w:spacing w:after="0" w:line="240" w:lineRule="auto"/>
        <w:jc w:val="both"/>
        <w:rPr>
          <w:rFonts w:ascii="Calibri" w:hAnsi="Calibri" w:cs="Calibri"/>
          <w:sz w:val="20"/>
          <w:szCs w:val="20"/>
        </w:rPr>
      </w:pPr>
    </w:p>
    <w:tbl>
      <w:tblPr>
        <w:tblStyle w:val="TableGrid"/>
        <w:tblW w:w="0" w:type="auto"/>
        <w:tblInd w:w="85" w:type="dxa"/>
        <w:tblLook w:val="04A0" w:firstRow="1" w:lastRow="0" w:firstColumn="1" w:lastColumn="0" w:noHBand="0" w:noVBand="1"/>
      </w:tblPr>
      <w:tblGrid>
        <w:gridCol w:w="1620"/>
        <w:gridCol w:w="1800"/>
        <w:gridCol w:w="4680"/>
        <w:gridCol w:w="1165"/>
      </w:tblGrid>
      <w:tr w:rsidR="001C5772" w:rsidRPr="00BE736B" w14:paraId="47778828" w14:textId="77777777" w:rsidTr="00BE736B">
        <w:tc>
          <w:tcPr>
            <w:tcW w:w="9265" w:type="dxa"/>
            <w:gridSpan w:val="4"/>
            <w:vAlign w:val="center"/>
          </w:tcPr>
          <w:p w14:paraId="02F33652" w14:textId="77777777" w:rsidR="001C5772" w:rsidRPr="00BE736B" w:rsidRDefault="001C5772" w:rsidP="00BE736B">
            <w:pPr>
              <w:jc w:val="center"/>
              <w:rPr>
                <w:rFonts w:ascii="Calibri" w:hAnsi="Calibri" w:cs="Calibri"/>
                <w:b/>
                <w:bCs/>
                <w:sz w:val="20"/>
                <w:szCs w:val="20"/>
              </w:rPr>
            </w:pPr>
            <w:r w:rsidRPr="00BE736B">
              <w:rPr>
                <w:rFonts w:ascii="Calibri" w:hAnsi="Calibri" w:cs="Calibri"/>
                <w:b/>
                <w:bCs/>
                <w:sz w:val="20"/>
                <w:szCs w:val="20"/>
              </w:rPr>
              <w:t>SEC ISSUANCE</w:t>
            </w:r>
          </w:p>
        </w:tc>
      </w:tr>
      <w:tr w:rsidR="001C5772" w:rsidRPr="00BE736B" w14:paraId="7FFC2C10" w14:textId="77777777" w:rsidTr="00BE736B">
        <w:tc>
          <w:tcPr>
            <w:tcW w:w="1620" w:type="dxa"/>
            <w:vAlign w:val="center"/>
          </w:tcPr>
          <w:p w14:paraId="4FAF525B" w14:textId="77777777" w:rsidR="001C5772" w:rsidRPr="00BE736B" w:rsidRDefault="001C5772" w:rsidP="00BE736B">
            <w:pPr>
              <w:jc w:val="center"/>
              <w:rPr>
                <w:rFonts w:ascii="Calibri" w:hAnsi="Calibri" w:cs="Calibri"/>
                <w:sz w:val="20"/>
                <w:szCs w:val="20"/>
              </w:rPr>
            </w:pPr>
            <w:r w:rsidRPr="00BE736B">
              <w:rPr>
                <w:rFonts w:ascii="Calibri" w:hAnsi="Calibri" w:cs="Calibri"/>
                <w:b/>
                <w:bCs/>
                <w:sz w:val="20"/>
                <w:szCs w:val="20"/>
              </w:rPr>
              <w:t>ISSUANCE</w:t>
            </w:r>
          </w:p>
        </w:tc>
        <w:tc>
          <w:tcPr>
            <w:tcW w:w="1800" w:type="dxa"/>
            <w:vAlign w:val="center"/>
          </w:tcPr>
          <w:p w14:paraId="13F74627" w14:textId="77777777" w:rsidR="001C5772" w:rsidRPr="00BE736B" w:rsidRDefault="001C5772" w:rsidP="00BE736B">
            <w:pPr>
              <w:jc w:val="center"/>
              <w:rPr>
                <w:rFonts w:ascii="Calibri" w:hAnsi="Calibri" w:cs="Calibri"/>
                <w:sz w:val="20"/>
                <w:szCs w:val="20"/>
              </w:rPr>
            </w:pPr>
            <w:r w:rsidRPr="00BE736B">
              <w:rPr>
                <w:rFonts w:ascii="Calibri" w:hAnsi="Calibri" w:cs="Calibri"/>
                <w:b/>
                <w:bCs/>
                <w:sz w:val="20"/>
                <w:szCs w:val="20"/>
              </w:rPr>
              <w:t>DATE ISSUED</w:t>
            </w:r>
          </w:p>
        </w:tc>
        <w:tc>
          <w:tcPr>
            <w:tcW w:w="4680" w:type="dxa"/>
            <w:vAlign w:val="center"/>
          </w:tcPr>
          <w:p w14:paraId="104AF886" w14:textId="77777777" w:rsidR="001C5772" w:rsidRPr="00BE736B" w:rsidRDefault="001C5772" w:rsidP="00BE736B">
            <w:pPr>
              <w:rPr>
                <w:rFonts w:ascii="Calibri" w:hAnsi="Calibri" w:cs="Calibri"/>
                <w:sz w:val="20"/>
                <w:szCs w:val="20"/>
              </w:rPr>
            </w:pPr>
            <w:r w:rsidRPr="00BE736B">
              <w:rPr>
                <w:rFonts w:ascii="Calibri" w:hAnsi="Calibri" w:cs="Calibri"/>
                <w:b/>
                <w:bCs/>
                <w:sz w:val="20"/>
                <w:szCs w:val="20"/>
              </w:rPr>
              <w:t>SUBJECT</w:t>
            </w:r>
          </w:p>
        </w:tc>
        <w:tc>
          <w:tcPr>
            <w:tcW w:w="1165" w:type="dxa"/>
            <w:vAlign w:val="center"/>
          </w:tcPr>
          <w:p w14:paraId="272CE28E" w14:textId="77777777" w:rsidR="001C5772" w:rsidRPr="00BE736B" w:rsidRDefault="001C5772" w:rsidP="00BE736B">
            <w:pPr>
              <w:jc w:val="center"/>
              <w:rPr>
                <w:rFonts w:ascii="Calibri" w:hAnsi="Calibri" w:cs="Calibri"/>
                <w:sz w:val="20"/>
                <w:szCs w:val="20"/>
                <w:highlight w:val="yellow"/>
              </w:rPr>
            </w:pPr>
            <w:r w:rsidRPr="00BE736B">
              <w:rPr>
                <w:rFonts w:ascii="Calibri" w:hAnsi="Calibri" w:cs="Calibri"/>
                <w:b/>
                <w:bCs/>
                <w:sz w:val="20"/>
                <w:szCs w:val="20"/>
              </w:rPr>
              <w:t>PAGE NO.</w:t>
            </w:r>
          </w:p>
        </w:tc>
      </w:tr>
      <w:tr w:rsidR="001C5772" w:rsidRPr="00BE736B" w14:paraId="08507A05" w14:textId="77777777" w:rsidTr="00BE736B">
        <w:tc>
          <w:tcPr>
            <w:tcW w:w="1620" w:type="dxa"/>
            <w:vAlign w:val="center"/>
          </w:tcPr>
          <w:p w14:paraId="083350C9"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SEC Memorandum Circular No. 34 Series of 2020</w:t>
            </w:r>
          </w:p>
          <w:p w14:paraId="33AEE2F2" w14:textId="77777777" w:rsidR="001C5772" w:rsidRPr="00BE736B" w:rsidRDefault="001C5772" w:rsidP="00BE736B">
            <w:pPr>
              <w:jc w:val="center"/>
              <w:rPr>
                <w:rFonts w:ascii="Calibri" w:hAnsi="Calibri" w:cs="Calibri"/>
                <w:sz w:val="20"/>
                <w:szCs w:val="20"/>
              </w:rPr>
            </w:pPr>
          </w:p>
        </w:tc>
        <w:tc>
          <w:tcPr>
            <w:tcW w:w="1800" w:type="dxa"/>
            <w:vAlign w:val="center"/>
          </w:tcPr>
          <w:p w14:paraId="57453308"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15 December 2020</w:t>
            </w:r>
          </w:p>
        </w:tc>
        <w:tc>
          <w:tcPr>
            <w:tcW w:w="4680" w:type="dxa"/>
            <w:vAlign w:val="center"/>
          </w:tcPr>
          <w:p w14:paraId="14C3A0F0"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Deferral of the Philippine Interpretation Committee (PIC) Question &amp; Answer No. 2018-12 and IFRS Interpretations Committee (IFRIC) Agenda Decision on Over Time Transfer of Constructed Goods for Real Estate Industry</w:t>
            </w:r>
          </w:p>
          <w:p w14:paraId="3001C14C" w14:textId="77777777" w:rsidR="001C5772" w:rsidRPr="00BE736B" w:rsidRDefault="001C5772" w:rsidP="00BE736B">
            <w:pPr>
              <w:rPr>
                <w:rFonts w:ascii="Calibri" w:hAnsi="Calibri" w:cs="Calibri"/>
                <w:sz w:val="20"/>
                <w:szCs w:val="20"/>
              </w:rPr>
            </w:pPr>
          </w:p>
        </w:tc>
        <w:tc>
          <w:tcPr>
            <w:tcW w:w="1165" w:type="dxa"/>
            <w:vAlign w:val="center"/>
          </w:tcPr>
          <w:p w14:paraId="4E615D98" w14:textId="77777777" w:rsidR="001C5772" w:rsidRPr="00BE736B" w:rsidRDefault="001C5772" w:rsidP="00BE736B">
            <w:pPr>
              <w:jc w:val="center"/>
              <w:rPr>
                <w:rFonts w:ascii="Calibri" w:hAnsi="Calibri" w:cs="Calibri"/>
                <w:sz w:val="20"/>
                <w:szCs w:val="20"/>
                <w:highlight w:val="yellow"/>
              </w:rPr>
            </w:pPr>
          </w:p>
        </w:tc>
      </w:tr>
      <w:tr w:rsidR="001C5772" w:rsidRPr="00BE736B" w14:paraId="47E874AF" w14:textId="77777777" w:rsidTr="00BE736B">
        <w:tc>
          <w:tcPr>
            <w:tcW w:w="1620" w:type="dxa"/>
            <w:vAlign w:val="center"/>
          </w:tcPr>
          <w:p w14:paraId="1265D794" w14:textId="77777777" w:rsidR="001C5772" w:rsidRPr="00BE736B" w:rsidRDefault="001C5772" w:rsidP="00BE736B">
            <w:pPr>
              <w:spacing w:line="276" w:lineRule="auto"/>
              <w:jc w:val="both"/>
              <w:rPr>
                <w:rFonts w:ascii="Calibri" w:hAnsi="Calibri" w:cs="Calibri"/>
                <w:sz w:val="20"/>
                <w:szCs w:val="20"/>
              </w:rPr>
            </w:pPr>
            <w:r w:rsidRPr="00BE736B">
              <w:rPr>
                <w:rFonts w:ascii="Calibri" w:hAnsi="Calibri" w:cs="Calibri"/>
                <w:sz w:val="20"/>
                <w:szCs w:val="20"/>
              </w:rPr>
              <w:t>SEC Memorandum Circular No. 37 Series of 2020</w:t>
            </w:r>
          </w:p>
        </w:tc>
        <w:tc>
          <w:tcPr>
            <w:tcW w:w="1800" w:type="dxa"/>
            <w:vAlign w:val="center"/>
          </w:tcPr>
          <w:p w14:paraId="680C005C" w14:textId="77777777" w:rsidR="001C5772" w:rsidRPr="00BE736B" w:rsidRDefault="001C5772" w:rsidP="00BE736B">
            <w:pPr>
              <w:jc w:val="center"/>
              <w:rPr>
                <w:rFonts w:ascii="Calibri" w:hAnsi="Calibri" w:cs="Calibri"/>
                <w:sz w:val="20"/>
                <w:szCs w:val="20"/>
              </w:rPr>
            </w:pPr>
            <w:r>
              <w:rPr>
                <w:rFonts w:ascii="Calibri" w:hAnsi="Calibri" w:cs="Calibri"/>
                <w:sz w:val="20"/>
                <w:szCs w:val="20"/>
              </w:rPr>
              <w:t xml:space="preserve">22 </w:t>
            </w:r>
            <w:r w:rsidRPr="00BE736B">
              <w:rPr>
                <w:rFonts w:ascii="Calibri" w:hAnsi="Calibri" w:cs="Calibri"/>
                <w:sz w:val="20"/>
                <w:szCs w:val="20"/>
              </w:rPr>
              <w:t>December 2020</w:t>
            </w:r>
          </w:p>
        </w:tc>
        <w:tc>
          <w:tcPr>
            <w:tcW w:w="4680" w:type="dxa"/>
            <w:vAlign w:val="center"/>
          </w:tcPr>
          <w:p w14:paraId="2F76C115" w14:textId="77777777" w:rsidR="001C5772" w:rsidRPr="00BE736B" w:rsidRDefault="001C5772" w:rsidP="00BE736B">
            <w:pPr>
              <w:spacing w:line="276" w:lineRule="auto"/>
              <w:jc w:val="both"/>
              <w:rPr>
                <w:rFonts w:ascii="Calibri" w:hAnsi="Calibri" w:cs="Calibri"/>
                <w:sz w:val="20"/>
                <w:szCs w:val="20"/>
              </w:rPr>
            </w:pPr>
            <w:r w:rsidRPr="00BE736B">
              <w:rPr>
                <w:rFonts w:ascii="Calibri" w:hAnsi="Calibri" w:cs="Calibri"/>
                <w:sz w:val="20"/>
                <w:szCs w:val="20"/>
              </w:rPr>
              <w:t>Regulatory Relief Measures to Manage the Effect of the COVID-19 Pandemic</w:t>
            </w:r>
          </w:p>
          <w:p w14:paraId="79DA1F89" w14:textId="77777777" w:rsidR="001C5772" w:rsidRPr="00BE736B" w:rsidRDefault="001C5772" w:rsidP="00BE736B">
            <w:pPr>
              <w:rPr>
                <w:rFonts w:ascii="Calibri" w:hAnsi="Calibri" w:cs="Calibri"/>
                <w:sz w:val="20"/>
                <w:szCs w:val="20"/>
              </w:rPr>
            </w:pPr>
          </w:p>
        </w:tc>
        <w:tc>
          <w:tcPr>
            <w:tcW w:w="1165" w:type="dxa"/>
            <w:vAlign w:val="center"/>
          </w:tcPr>
          <w:p w14:paraId="3FF8D3F7" w14:textId="77777777" w:rsidR="001C5772" w:rsidRPr="00BE736B" w:rsidRDefault="001C5772" w:rsidP="00BE736B">
            <w:pPr>
              <w:jc w:val="center"/>
              <w:rPr>
                <w:rFonts w:ascii="Calibri" w:hAnsi="Calibri" w:cs="Calibri"/>
                <w:sz w:val="20"/>
                <w:szCs w:val="20"/>
                <w:highlight w:val="yellow"/>
              </w:rPr>
            </w:pPr>
          </w:p>
        </w:tc>
      </w:tr>
      <w:tr w:rsidR="001C5772" w:rsidRPr="00BE736B" w14:paraId="67E979E8" w14:textId="77777777" w:rsidTr="00BE736B">
        <w:tc>
          <w:tcPr>
            <w:tcW w:w="1620" w:type="dxa"/>
            <w:vAlign w:val="center"/>
          </w:tcPr>
          <w:p w14:paraId="3BD14221"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SEC Memorandum Circular No. 36 Series of 2020</w:t>
            </w:r>
          </w:p>
        </w:tc>
        <w:tc>
          <w:tcPr>
            <w:tcW w:w="1800" w:type="dxa"/>
            <w:vAlign w:val="center"/>
          </w:tcPr>
          <w:p w14:paraId="65E2BCAF" w14:textId="77777777" w:rsidR="001C5772" w:rsidRPr="00BE736B" w:rsidRDefault="001C5772" w:rsidP="00BE736B">
            <w:pPr>
              <w:jc w:val="center"/>
              <w:rPr>
                <w:rFonts w:ascii="Calibri" w:hAnsi="Calibri" w:cs="Calibri"/>
                <w:sz w:val="20"/>
                <w:szCs w:val="20"/>
              </w:rPr>
            </w:pPr>
            <w:r>
              <w:rPr>
                <w:rFonts w:ascii="Calibri" w:hAnsi="Calibri" w:cs="Calibri"/>
                <w:sz w:val="20"/>
                <w:szCs w:val="20"/>
              </w:rPr>
              <w:t xml:space="preserve">22 </w:t>
            </w:r>
            <w:r w:rsidRPr="00BE736B">
              <w:rPr>
                <w:rFonts w:ascii="Calibri" w:hAnsi="Calibri" w:cs="Calibri"/>
                <w:sz w:val="20"/>
                <w:szCs w:val="20"/>
              </w:rPr>
              <w:t>December 2020</w:t>
            </w:r>
          </w:p>
        </w:tc>
        <w:tc>
          <w:tcPr>
            <w:tcW w:w="4680" w:type="dxa"/>
            <w:vAlign w:val="center"/>
          </w:tcPr>
          <w:p w14:paraId="466D7777" w14:textId="77777777" w:rsidR="001C5772" w:rsidRPr="00BE736B" w:rsidRDefault="001C5772" w:rsidP="00BE736B">
            <w:pPr>
              <w:spacing w:line="276" w:lineRule="auto"/>
              <w:jc w:val="both"/>
              <w:rPr>
                <w:rFonts w:ascii="Calibri" w:hAnsi="Calibri" w:cs="Calibri"/>
                <w:sz w:val="20"/>
                <w:szCs w:val="20"/>
              </w:rPr>
            </w:pPr>
            <w:r w:rsidRPr="00BE736B">
              <w:rPr>
                <w:rFonts w:ascii="Calibri" w:hAnsi="Calibri" w:cs="Calibri"/>
                <w:sz w:val="20"/>
                <w:szCs w:val="20"/>
              </w:rPr>
              <w:t>2020 Compliance Officer’s Certification</w:t>
            </w:r>
          </w:p>
          <w:p w14:paraId="708CEDAA" w14:textId="77777777" w:rsidR="001C5772" w:rsidRPr="00BE736B" w:rsidRDefault="001C5772" w:rsidP="00BE736B">
            <w:pPr>
              <w:rPr>
                <w:rFonts w:ascii="Calibri" w:hAnsi="Calibri" w:cs="Calibri"/>
                <w:sz w:val="20"/>
                <w:szCs w:val="20"/>
              </w:rPr>
            </w:pPr>
          </w:p>
        </w:tc>
        <w:tc>
          <w:tcPr>
            <w:tcW w:w="1165" w:type="dxa"/>
            <w:vAlign w:val="center"/>
          </w:tcPr>
          <w:p w14:paraId="69868000" w14:textId="77777777" w:rsidR="001C5772" w:rsidRPr="00BE736B" w:rsidRDefault="001C5772" w:rsidP="00BE736B">
            <w:pPr>
              <w:jc w:val="center"/>
              <w:rPr>
                <w:rFonts w:ascii="Calibri" w:hAnsi="Calibri" w:cs="Calibri"/>
                <w:sz w:val="20"/>
                <w:szCs w:val="20"/>
                <w:highlight w:val="yellow"/>
              </w:rPr>
            </w:pPr>
          </w:p>
        </w:tc>
      </w:tr>
      <w:tr w:rsidR="001C5772" w:rsidRPr="00BE736B" w14:paraId="30072E62" w14:textId="77777777" w:rsidTr="00BE736B">
        <w:tc>
          <w:tcPr>
            <w:tcW w:w="1620" w:type="dxa"/>
            <w:vAlign w:val="center"/>
          </w:tcPr>
          <w:p w14:paraId="02F6A76E"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 xml:space="preserve">SEC Memorandum </w:t>
            </w:r>
            <w:r w:rsidRPr="00BE736B">
              <w:rPr>
                <w:rFonts w:ascii="Calibri" w:hAnsi="Calibri" w:cs="Calibri"/>
                <w:sz w:val="20"/>
                <w:szCs w:val="20"/>
              </w:rPr>
              <w:lastRenderedPageBreak/>
              <w:t>Circular No. 35 Series of 2020</w:t>
            </w:r>
          </w:p>
        </w:tc>
        <w:tc>
          <w:tcPr>
            <w:tcW w:w="1800" w:type="dxa"/>
            <w:vAlign w:val="center"/>
          </w:tcPr>
          <w:p w14:paraId="4B81DAE3" w14:textId="77777777" w:rsidR="001C5772" w:rsidRPr="00BE736B" w:rsidRDefault="001C5772" w:rsidP="00BE736B">
            <w:pPr>
              <w:spacing w:line="276" w:lineRule="auto"/>
              <w:jc w:val="both"/>
              <w:rPr>
                <w:rFonts w:ascii="Calibri" w:hAnsi="Calibri" w:cs="Calibri"/>
                <w:sz w:val="20"/>
                <w:szCs w:val="20"/>
              </w:rPr>
            </w:pPr>
            <w:r w:rsidRPr="00BE736B">
              <w:rPr>
                <w:rFonts w:ascii="Calibri" w:hAnsi="Calibri" w:cs="Calibri"/>
                <w:sz w:val="20"/>
                <w:szCs w:val="20"/>
              </w:rPr>
              <w:lastRenderedPageBreak/>
              <w:t>28 December 2020</w:t>
            </w:r>
          </w:p>
          <w:p w14:paraId="4FB70B96" w14:textId="77777777" w:rsidR="001C5772" w:rsidRPr="00BE736B" w:rsidRDefault="001C5772" w:rsidP="00BE736B">
            <w:pPr>
              <w:jc w:val="center"/>
              <w:rPr>
                <w:rFonts w:ascii="Calibri" w:hAnsi="Calibri" w:cs="Calibri"/>
                <w:sz w:val="20"/>
                <w:szCs w:val="20"/>
              </w:rPr>
            </w:pPr>
          </w:p>
        </w:tc>
        <w:tc>
          <w:tcPr>
            <w:tcW w:w="4680" w:type="dxa"/>
            <w:vAlign w:val="center"/>
          </w:tcPr>
          <w:p w14:paraId="3C445129" w14:textId="77777777" w:rsidR="001C5772" w:rsidRPr="00BE736B" w:rsidRDefault="001C5772" w:rsidP="00BE736B">
            <w:pPr>
              <w:jc w:val="both"/>
              <w:rPr>
                <w:rFonts w:ascii="Calibri" w:hAnsi="Calibri" w:cs="Calibri"/>
                <w:sz w:val="20"/>
                <w:szCs w:val="20"/>
              </w:rPr>
            </w:pPr>
            <w:r w:rsidRPr="00BE736B">
              <w:rPr>
                <w:rFonts w:ascii="Calibri" w:hAnsi="Calibri" w:cs="Calibri"/>
                <w:sz w:val="20"/>
                <w:szCs w:val="20"/>
              </w:rPr>
              <w:t xml:space="preserve">Financial Reporting Relief </w:t>
            </w:r>
            <w:proofErr w:type="gramStart"/>
            <w:r w:rsidRPr="00BE736B">
              <w:rPr>
                <w:rFonts w:ascii="Calibri" w:hAnsi="Calibri" w:cs="Calibri"/>
                <w:sz w:val="20"/>
                <w:szCs w:val="20"/>
              </w:rPr>
              <w:t>in light of</w:t>
            </w:r>
            <w:proofErr w:type="gramEnd"/>
            <w:r w:rsidRPr="00BE736B">
              <w:rPr>
                <w:rFonts w:ascii="Calibri" w:hAnsi="Calibri" w:cs="Calibri"/>
                <w:sz w:val="20"/>
                <w:szCs w:val="20"/>
              </w:rPr>
              <w:t xml:space="preserve"> Covid-19 Pandemic</w:t>
            </w:r>
          </w:p>
          <w:p w14:paraId="23EA594E" w14:textId="77777777" w:rsidR="001C5772" w:rsidRPr="00BE736B" w:rsidRDefault="001C5772" w:rsidP="00BE736B">
            <w:pPr>
              <w:rPr>
                <w:rFonts w:ascii="Calibri" w:hAnsi="Calibri" w:cs="Calibri"/>
                <w:sz w:val="20"/>
                <w:szCs w:val="20"/>
              </w:rPr>
            </w:pPr>
          </w:p>
        </w:tc>
        <w:tc>
          <w:tcPr>
            <w:tcW w:w="1165" w:type="dxa"/>
            <w:vAlign w:val="center"/>
          </w:tcPr>
          <w:p w14:paraId="7070BCC8" w14:textId="77777777" w:rsidR="001C5772" w:rsidRPr="00BE736B" w:rsidRDefault="001C5772" w:rsidP="00BE736B">
            <w:pPr>
              <w:jc w:val="center"/>
              <w:rPr>
                <w:rFonts w:ascii="Calibri" w:hAnsi="Calibri" w:cs="Calibri"/>
                <w:sz w:val="20"/>
                <w:szCs w:val="20"/>
                <w:highlight w:val="yellow"/>
              </w:rPr>
            </w:pPr>
          </w:p>
        </w:tc>
      </w:tr>
      <w:tr w:rsidR="001C5772" w:rsidRPr="00BE736B" w14:paraId="66DC964C" w14:textId="77777777" w:rsidTr="00BE736B">
        <w:tc>
          <w:tcPr>
            <w:tcW w:w="1620" w:type="dxa"/>
            <w:vAlign w:val="center"/>
          </w:tcPr>
          <w:p w14:paraId="1E8B2478" w14:textId="77777777" w:rsidR="001C5772" w:rsidRPr="00BE736B" w:rsidRDefault="001C5772" w:rsidP="00BE736B">
            <w:pPr>
              <w:spacing w:line="276" w:lineRule="auto"/>
              <w:jc w:val="both"/>
              <w:rPr>
                <w:rFonts w:ascii="Calibri" w:hAnsi="Calibri" w:cs="Calibri"/>
                <w:sz w:val="20"/>
                <w:szCs w:val="20"/>
              </w:rPr>
            </w:pPr>
            <w:r w:rsidRPr="00BE736B">
              <w:rPr>
                <w:rFonts w:ascii="Calibri" w:hAnsi="Calibri" w:cs="Calibri"/>
                <w:sz w:val="20"/>
                <w:szCs w:val="20"/>
              </w:rPr>
              <w:t>SEC Notice Series of 2020 dated 28 December 2020</w:t>
            </w:r>
          </w:p>
          <w:p w14:paraId="5B02D247" w14:textId="77777777" w:rsidR="001C5772" w:rsidRPr="00BE736B" w:rsidRDefault="001C5772" w:rsidP="00BE736B">
            <w:pPr>
              <w:jc w:val="center"/>
              <w:rPr>
                <w:rFonts w:ascii="Calibri" w:hAnsi="Calibri" w:cs="Calibri"/>
                <w:sz w:val="20"/>
                <w:szCs w:val="20"/>
              </w:rPr>
            </w:pPr>
          </w:p>
        </w:tc>
        <w:tc>
          <w:tcPr>
            <w:tcW w:w="1800" w:type="dxa"/>
            <w:vAlign w:val="center"/>
          </w:tcPr>
          <w:p w14:paraId="1649E0F6"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28 December 2020</w:t>
            </w:r>
          </w:p>
        </w:tc>
        <w:tc>
          <w:tcPr>
            <w:tcW w:w="4680" w:type="dxa"/>
            <w:vAlign w:val="center"/>
          </w:tcPr>
          <w:p w14:paraId="2B47F7D0"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Submission of email and cellular phones deadline</w:t>
            </w:r>
          </w:p>
        </w:tc>
        <w:tc>
          <w:tcPr>
            <w:tcW w:w="1165" w:type="dxa"/>
            <w:vAlign w:val="center"/>
          </w:tcPr>
          <w:p w14:paraId="02FAB41E" w14:textId="77777777" w:rsidR="001C5772" w:rsidRPr="00BE736B" w:rsidRDefault="001C5772" w:rsidP="00BE736B">
            <w:pPr>
              <w:jc w:val="center"/>
              <w:rPr>
                <w:rFonts w:ascii="Calibri" w:hAnsi="Calibri" w:cs="Calibri"/>
                <w:sz w:val="20"/>
                <w:szCs w:val="20"/>
                <w:highlight w:val="yellow"/>
              </w:rPr>
            </w:pPr>
          </w:p>
        </w:tc>
      </w:tr>
      <w:tr w:rsidR="001C5772" w:rsidRPr="00BE736B" w14:paraId="575F9739" w14:textId="77777777" w:rsidTr="00BE736B">
        <w:tc>
          <w:tcPr>
            <w:tcW w:w="1620" w:type="dxa"/>
            <w:vAlign w:val="center"/>
          </w:tcPr>
          <w:p w14:paraId="377ED2AE" w14:textId="77777777" w:rsidR="001C5772" w:rsidRPr="00BE736B" w:rsidRDefault="001C5772" w:rsidP="00BE736B">
            <w:pPr>
              <w:shd w:val="clear" w:color="auto" w:fill="FFFFFF"/>
              <w:spacing w:line="276" w:lineRule="auto"/>
              <w:jc w:val="both"/>
              <w:rPr>
                <w:rFonts w:ascii="Calibri" w:hAnsi="Calibri" w:cs="Calibri"/>
                <w:sz w:val="20"/>
                <w:szCs w:val="20"/>
              </w:rPr>
            </w:pPr>
            <w:r w:rsidRPr="00BE736B">
              <w:rPr>
                <w:rFonts w:ascii="Calibri" w:eastAsia="Times New Roman" w:hAnsi="Calibri" w:cs="Calibri"/>
                <w:sz w:val="20"/>
                <w:szCs w:val="20"/>
              </w:rPr>
              <w:t>SEC Notice Series of 2021</w:t>
            </w:r>
          </w:p>
        </w:tc>
        <w:tc>
          <w:tcPr>
            <w:tcW w:w="1800" w:type="dxa"/>
            <w:vAlign w:val="center"/>
          </w:tcPr>
          <w:p w14:paraId="17652B5D" w14:textId="77777777" w:rsidR="001C5772" w:rsidRPr="00BE736B" w:rsidRDefault="001C5772" w:rsidP="00BE736B">
            <w:pPr>
              <w:jc w:val="center"/>
              <w:rPr>
                <w:rFonts w:ascii="Calibri" w:hAnsi="Calibri" w:cs="Calibri"/>
                <w:sz w:val="20"/>
                <w:szCs w:val="20"/>
              </w:rPr>
            </w:pPr>
            <w:r w:rsidRPr="00BE736B">
              <w:rPr>
                <w:rFonts w:ascii="Calibri" w:hAnsi="Calibri" w:cs="Calibri"/>
                <w:sz w:val="20"/>
                <w:szCs w:val="20"/>
              </w:rPr>
              <w:t>8 January 2021</w:t>
            </w:r>
          </w:p>
        </w:tc>
        <w:tc>
          <w:tcPr>
            <w:tcW w:w="4680" w:type="dxa"/>
            <w:vAlign w:val="center"/>
          </w:tcPr>
          <w:p w14:paraId="1F3D5392"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Payment Facilities Schedule</w:t>
            </w:r>
          </w:p>
        </w:tc>
        <w:tc>
          <w:tcPr>
            <w:tcW w:w="1165" w:type="dxa"/>
            <w:vAlign w:val="center"/>
          </w:tcPr>
          <w:p w14:paraId="0EBBD824" w14:textId="77777777" w:rsidR="001C5772" w:rsidRPr="00BE736B" w:rsidRDefault="001C5772" w:rsidP="00BE736B">
            <w:pPr>
              <w:jc w:val="center"/>
              <w:rPr>
                <w:rFonts w:ascii="Calibri" w:hAnsi="Calibri" w:cs="Calibri"/>
                <w:sz w:val="20"/>
                <w:szCs w:val="20"/>
                <w:highlight w:val="yellow"/>
              </w:rPr>
            </w:pPr>
          </w:p>
        </w:tc>
      </w:tr>
      <w:tr w:rsidR="001C5772" w:rsidRPr="00BE736B" w14:paraId="53DEBDC0" w14:textId="77777777" w:rsidTr="00BE736B">
        <w:tc>
          <w:tcPr>
            <w:tcW w:w="1620" w:type="dxa"/>
            <w:vAlign w:val="center"/>
          </w:tcPr>
          <w:p w14:paraId="09393DC0" w14:textId="77777777" w:rsidR="001C5772" w:rsidRPr="00BE736B" w:rsidRDefault="001C5772" w:rsidP="00BE736B">
            <w:pPr>
              <w:shd w:val="clear" w:color="auto" w:fill="FFFFFF"/>
              <w:spacing w:line="276" w:lineRule="auto"/>
              <w:jc w:val="both"/>
              <w:rPr>
                <w:rFonts w:ascii="Calibri" w:hAnsi="Calibri" w:cs="Calibri"/>
                <w:sz w:val="20"/>
                <w:szCs w:val="20"/>
              </w:rPr>
            </w:pPr>
            <w:r w:rsidRPr="00BE736B">
              <w:rPr>
                <w:rFonts w:ascii="Calibri" w:eastAsia="Times New Roman" w:hAnsi="Calibri" w:cs="Calibri"/>
                <w:sz w:val="20"/>
                <w:szCs w:val="20"/>
              </w:rPr>
              <w:t xml:space="preserve">SEC Notice Series of 2021 </w:t>
            </w:r>
          </w:p>
        </w:tc>
        <w:tc>
          <w:tcPr>
            <w:tcW w:w="1800" w:type="dxa"/>
            <w:vAlign w:val="center"/>
          </w:tcPr>
          <w:p w14:paraId="7402B2A2" w14:textId="77777777" w:rsidR="001C5772" w:rsidRPr="00BE736B" w:rsidRDefault="001C5772" w:rsidP="00BE736B">
            <w:pPr>
              <w:shd w:val="clear" w:color="auto" w:fill="FFFFFF"/>
              <w:spacing w:line="276" w:lineRule="auto"/>
              <w:jc w:val="both"/>
              <w:rPr>
                <w:rFonts w:ascii="Calibri" w:eastAsia="Times New Roman" w:hAnsi="Calibri" w:cs="Calibri"/>
                <w:sz w:val="20"/>
                <w:szCs w:val="20"/>
              </w:rPr>
            </w:pPr>
            <w:r w:rsidRPr="00BE736B">
              <w:rPr>
                <w:rFonts w:ascii="Calibri" w:eastAsia="Times New Roman" w:hAnsi="Calibri" w:cs="Calibri"/>
                <w:sz w:val="20"/>
                <w:szCs w:val="20"/>
              </w:rPr>
              <w:t xml:space="preserve"> 13 January 2021</w:t>
            </w:r>
          </w:p>
          <w:p w14:paraId="268BE06C" w14:textId="77777777" w:rsidR="001C5772" w:rsidRPr="00BE736B" w:rsidRDefault="001C5772" w:rsidP="00BE736B">
            <w:pPr>
              <w:jc w:val="center"/>
              <w:rPr>
                <w:rFonts w:ascii="Calibri" w:hAnsi="Calibri" w:cs="Calibri"/>
                <w:sz w:val="20"/>
                <w:szCs w:val="20"/>
              </w:rPr>
            </w:pPr>
          </w:p>
        </w:tc>
        <w:tc>
          <w:tcPr>
            <w:tcW w:w="4680" w:type="dxa"/>
            <w:vAlign w:val="center"/>
          </w:tcPr>
          <w:p w14:paraId="5F2D548B" w14:textId="77777777" w:rsidR="001C5772" w:rsidRPr="00BE736B" w:rsidRDefault="001C5772" w:rsidP="00BE736B">
            <w:pPr>
              <w:rPr>
                <w:rFonts w:ascii="Calibri" w:hAnsi="Calibri" w:cs="Calibri"/>
                <w:sz w:val="20"/>
                <w:szCs w:val="20"/>
              </w:rPr>
            </w:pPr>
            <w:r w:rsidRPr="00BE736B">
              <w:rPr>
                <w:rFonts w:ascii="Calibri" w:hAnsi="Calibri" w:cs="Calibri"/>
                <w:sz w:val="20"/>
                <w:szCs w:val="20"/>
              </w:rPr>
              <w:t>Notice to Retain Corporate Term</w:t>
            </w:r>
          </w:p>
        </w:tc>
        <w:tc>
          <w:tcPr>
            <w:tcW w:w="1165" w:type="dxa"/>
            <w:vAlign w:val="center"/>
          </w:tcPr>
          <w:p w14:paraId="69113302" w14:textId="77777777" w:rsidR="001C5772" w:rsidRPr="00BE736B" w:rsidRDefault="001C5772" w:rsidP="00BE736B">
            <w:pPr>
              <w:jc w:val="center"/>
              <w:rPr>
                <w:rFonts w:ascii="Calibri" w:hAnsi="Calibri" w:cs="Calibri"/>
                <w:sz w:val="20"/>
                <w:szCs w:val="20"/>
                <w:highlight w:val="yellow"/>
              </w:rPr>
            </w:pPr>
          </w:p>
        </w:tc>
      </w:tr>
    </w:tbl>
    <w:p w14:paraId="2322496A" w14:textId="77777777" w:rsidR="001C5772" w:rsidRPr="00BE736B" w:rsidRDefault="001C5772" w:rsidP="001C5772">
      <w:pPr>
        <w:ind w:left="1440" w:right="720"/>
        <w:rPr>
          <w:rFonts w:ascii="Calibri" w:hAnsi="Calibri" w:cs="Calibri"/>
          <w:sz w:val="20"/>
          <w:szCs w:val="20"/>
        </w:rPr>
      </w:pPr>
    </w:p>
    <w:p w14:paraId="7567391A" w14:textId="77777777" w:rsidR="001C5772" w:rsidRDefault="001C5772" w:rsidP="001C5772">
      <w:r w:rsidRPr="00BE736B">
        <w:rPr>
          <w:rFonts w:ascii="Calibri" w:hAnsi="Calibri" w:cs="Calibri"/>
          <w:b/>
          <w:bCs/>
          <w:sz w:val="20"/>
          <w:szCs w:val="20"/>
        </w:rPr>
        <w:t xml:space="preserve">  </w:t>
      </w:r>
      <w:r w:rsidRPr="00BE736B">
        <w:rPr>
          <w:rFonts w:ascii="Calibri" w:hAnsi="Calibri" w:cs="Calibri"/>
          <w:b/>
          <w:bCs/>
          <w:sz w:val="20"/>
          <w:szCs w:val="20"/>
          <w:u w:val="single"/>
        </w:rPr>
        <w:t xml:space="preserve">DISCUSSION </w:t>
      </w:r>
    </w:p>
    <w:p w14:paraId="1406933C" w14:textId="77777777" w:rsidR="001C5772" w:rsidRPr="00BE736B" w:rsidRDefault="001C5772" w:rsidP="001C5772">
      <w:pPr>
        <w:pStyle w:val="ListParagraph"/>
        <w:rPr>
          <w:rFonts w:ascii="Calibri" w:hAnsi="Calibri" w:cs="Calibri"/>
          <w:b/>
          <w:bCs/>
          <w:sz w:val="32"/>
          <w:szCs w:val="32"/>
        </w:rPr>
      </w:pPr>
      <w:r w:rsidRPr="00BE736B">
        <w:rPr>
          <w:rFonts w:ascii="Calibri" w:hAnsi="Calibri" w:cs="Calibri"/>
          <w:b/>
          <w:bCs/>
          <w:sz w:val="32"/>
          <w:szCs w:val="32"/>
        </w:rPr>
        <w:t xml:space="preserve">  Bureau of Internal Revenue (BIR) Issuances</w:t>
      </w:r>
    </w:p>
    <w:p w14:paraId="5B4B10C7" w14:textId="77777777" w:rsidR="001C5772" w:rsidRPr="00BE736B" w:rsidRDefault="001C5772" w:rsidP="001C5772">
      <w:pPr>
        <w:pStyle w:val="ListParagraph"/>
        <w:numPr>
          <w:ilvl w:val="0"/>
          <w:numId w:val="6"/>
        </w:numPr>
        <w:ind w:left="90" w:firstLine="0"/>
        <w:jc w:val="both"/>
        <w:rPr>
          <w:rFonts w:ascii="Calibri" w:hAnsi="Calibri" w:cs="Calibri"/>
          <w:b/>
          <w:bCs/>
          <w:sz w:val="20"/>
          <w:szCs w:val="20"/>
        </w:rPr>
      </w:pPr>
      <w:r w:rsidRPr="00BE736B">
        <w:rPr>
          <w:rFonts w:ascii="Calibri" w:hAnsi="Calibri" w:cs="Calibri"/>
          <w:b/>
          <w:bCs/>
          <w:sz w:val="20"/>
          <w:szCs w:val="20"/>
        </w:rPr>
        <w:t>REVENUE REGULATIONS</w:t>
      </w:r>
    </w:p>
    <w:p w14:paraId="69CF9408" w14:textId="77777777" w:rsidR="001C5772" w:rsidRPr="00BE736B" w:rsidRDefault="001C5772" w:rsidP="001C5772">
      <w:pPr>
        <w:pStyle w:val="ListParagraph"/>
        <w:ind w:left="360" w:right="720"/>
        <w:rPr>
          <w:rFonts w:ascii="Calibri" w:hAnsi="Calibri" w:cs="Calibri"/>
          <w:b/>
          <w:bCs/>
          <w:sz w:val="20"/>
          <w:szCs w:val="20"/>
        </w:rPr>
      </w:pPr>
      <w:r w:rsidRPr="00BE736B">
        <w:rPr>
          <w:rFonts w:ascii="Calibri" w:hAnsi="Calibri" w:cs="Calibri"/>
          <w:b/>
          <w:bCs/>
          <w:sz w:val="20"/>
          <w:szCs w:val="20"/>
        </w:rPr>
        <w:t xml:space="preserve"> </w:t>
      </w:r>
    </w:p>
    <w:p w14:paraId="5B6EECC4" w14:textId="77777777" w:rsidR="001C5772" w:rsidRPr="00BE736B" w:rsidRDefault="001C5772" w:rsidP="001C5772">
      <w:pPr>
        <w:pStyle w:val="ListParagraph"/>
        <w:ind w:left="360"/>
        <w:rPr>
          <w:rFonts w:ascii="Calibri" w:hAnsi="Calibri" w:cs="Calibri"/>
          <w:b/>
          <w:bCs/>
          <w:sz w:val="20"/>
          <w:szCs w:val="20"/>
        </w:rPr>
      </w:pPr>
      <w:r w:rsidRPr="00BE736B">
        <w:rPr>
          <w:rFonts w:ascii="Calibri" w:hAnsi="Calibri" w:cs="Calibri"/>
          <w:b/>
          <w:bCs/>
          <w:sz w:val="20"/>
          <w:szCs w:val="20"/>
        </w:rPr>
        <w:t>REGULATIONS NO. 34-2020 (December 18, 2020) was issued to streamline the guidelines and procedures prescribed by RR No. 19-2020 for the submission of BIR Form No. 1709 (RPT Form), Transfer Pricing (TP) Documentation and other supporting documents by providing safe harbors and materiality thresholds.</w:t>
      </w:r>
    </w:p>
    <w:p w14:paraId="497E10B1" w14:textId="77777777" w:rsidR="001C5772" w:rsidRPr="00BE736B" w:rsidRDefault="001C5772" w:rsidP="001C5772">
      <w:pPr>
        <w:pStyle w:val="ListParagraph"/>
        <w:numPr>
          <w:ilvl w:val="0"/>
          <w:numId w:val="7"/>
        </w:numPr>
        <w:spacing w:after="0" w:line="240" w:lineRule="auto"/>
        <w:rPr>
          <w:rFonts w:ascii="Calibri" w:hAnsi="Calibri" w:cs="Calibri"/>
          <w:sz w:val="20"/>
          <w:szCs w:val="20"/>
        </w:rPr>
      </w:pPr>
      <w:r w:rsidRPr="00BE736B">
        <w:rPr>
          <w:rFonts w:ascii="Calibri" w:hAnsi="Calibri" w:cs="Calibri"/>
          <w:sz w:val="20"/>
          <w:szCs w:val="20"/>
        </w:rPr>
        <w:t>The following are required to file and submit the new RPT Form (simplified version in lieu of the old form), together with the Annual Income Tax Return (AITR):</w:t>
      </w:r>
    </w:p>
    <w:p w14:paraId="045328F3" w14:textId="77777777" w:rsidR="001C5772" w:rsidRPr="00BE736B" w:rsidRDefault="001C5772" w:rsidP="001C5772">
      <w:pPr>
        <w:pStyle w:val="ListParagraph"/>
        <w:numPr>
          <w:ilvl w:val="0"/>
          <w:numId w:val="15"/>
        </w:numPr>
        <w:spacing w:after="0" w:line="240" w:lineRule="auto"/>
        <w:contextualSpacing w:val="0"/>
        <w:rPr>
          <w:rFonts w:ascii="Calibri" w:eastAsia="Times New Roman" w:hAnsi="Calibri" w:cs="Calibri"/>
          <w:sz w:val="20"/>
          <w:szCs w:val="20"/>
        </w:rPr>
      </w:pPr>
      <w:r w:rsidRPr="00BE736B">
        <w:rPr>
          <w:rFonts w:ascii="Calibri" w:eastAsia="Times New Roman" w:hAnsi="Calibri" w:cs="Calibri"/>
          <w:sz w:val="20"/>
          <w:szCs w:val="20"/>
        </w:rPr>
        <w:t>Large Taxpayers</w:t>
      </w:r>
    </w:p>
    <w:p w14:paraId="0556B32B" w14:textId="77777777" w:rsidR="001C5772" w:rsidRPr="00BE736B" w:rsidRDefault="001C5772" w:rsidP="001C5772">
      <w:pPr>
        <w:pStyle w:val="ListParagraph"/>
        <w:numPr>
          <w:ilvl w:val="0"/>
          <w:numId w:val="15"/>
        </w:numPr>
        <w:spacing w:after="0" w:line="240" w:lineRule="auto"/>
        <w:contextualSpacing w:val="0"/>
        <w:rPr>
          <w:rFonts w:ascii="Calibri" w:eastAsia="Times New Roman" w:hAnsi="Calibri" w:cs="Calibri"/>
          <w:sz w:val="20"/>
          <w:szCs w:val="20"/>
        </w:rPr>
      </w:pPr>
      <w:r w:rsidRPr="00BE736B">
        <w:rPr>
          <w:rFonts w:ascii="Calibri" w:eastAsia="Times New Roman" w:hAnsi="Calibri" w:cs="Calibri"/>
          <w:sz w:val="20"/>
          <w:szCs w:val="20"/>
        </w:rPr>
        <w:t>Taxpayers enjoying tax incentives, i.e. Board of Investments (BOI)-registered and economic zone enterprises, those enjoying Income Tax Holiday (ITH) or subject to preferential income tax rate</w:t>
      </w:r>
    </w:p>
    <w:p w14:paraId="6A2437A2" w14:textId="77777777" w:rsidR="001C5772" w:rsidRPr="00BE736B" w:rsidRDefault="001C5772" w:rsidP="001C5772">
      <w:pPr>
        <w:pStyle w:val="ListParagraph"/>
        <w:numPr>
          <w:ilvl w:val="0"/>
          <w:numId w:val="15"/>
        </w:numPr>
        <w:spacing w:after="0" w:line="240" w:lineRule="auto"/>
        <w:contextualSpacing w:val="0"/>
        <w:rPr>
          <w:rFonts w:ascii="Calibri" w:eastAsia="Times New Roman" w:hAnsi="Calibri" w:cs="Calibri"/>
          <w:sz w:val="20"/>
          <w:szCs w:val="20"/>
        </w:rPr>
      </w:pPr>
      <w:r w:rsidRPr="00BE736B">
        <w:rPr>
          <w:rFonts w:ascii="Calibri" w:eastAsia="Times New Roman" w:hAnsi="Calibri" w:cs="Calibri"/>
          <w:sz w:val="20"/>
          <w:szCs w:val="20"/>
        </w:rPr>
        <w:t>Taxpayers reporting net losses for the current taxable year and the immediately preceding two (2) consecutive taxable years</w:t>
      </w:r>
    </w:p>
    <w:p w14:paraId="0A7738D7" w14:textId="77777777" w:rsidR="001C5772" w:rsidRPr="00BE736B" w:rsidRDefault="001C5772" w:rsidP="001C5772">
      <w:pPr>
        <w:pStyle w:val="ListParagraph"/>
        <w:numPr>
          <w:ilvl w:val="0"/>
          <w:numId w:val="15"/>
        </w:numPr>
        <w:spacing w:after="0" w:line="240" w:lineRule="auto"/>
        <w:contextualSpacing w:val="0"/>
        <w:rPr>
          <w:rFonts w:ascii="Calibri" w:eastAsia="Times New Roman" w:hAnsi="Calibri" w:cs="Calibri"/>
          <w:sz w:val="20"/>
          <w:szCs w:val="20"/>
        </w:rPr>
      </w:pPr>
      <w:r w:rsidRPr="00BE736B">
        <w:rPr>
          <w:rFonts w:ascii="Calibri" w:eastAsia="Times New Roman" w:hAnsi="Calibri" w:cs="Calibri"/>
          <w:sz w:val="20"/>
          <w:szCs w:val="20"/>
        </w:rPr>
        <w:t>A related party, as defined in RR No. 19-2020, which has transactions with (a), (b) or (c).  For this purpose, key management personnel (KMP), as defined under Section 3(7) of RR No. 19-2020, shall no longer be required to file and submit the RPT Form, nor shall there be any requirement to report any transaction between the KMP and the reporting entity/parent company of the latter in the RPT Form.</w:t>
      </w:r>
    </w:p>
    <w:p w14:paraId="1ACC54AB" w14:textId="77777777" w:rsidR="001C5772" w:rsidRPr="00BE736B" w:rsidRDefault="001C5772" w:rsidP="001C5772">
      <w:pPr>
        <w:pStyle w:val="ListParagraph"/>
        <w:numPr>
          <w:ilvl w:val="0"/>
          <w:numId w:val="16"/>
        </w:numPr>
        <w:spacing w:after="0" w:line="240" w:lineRule="auto"/>
        <w:rPr>
          <w:rFonts w:ascii="Calibri" w:hAnsi="Calibri" w:cs="Calibri"/>
          <w:sz w:val="20"/>
          <w:szCs w:val="20"/>
        </w:rPr>
      </w:pPr>
      <w:r w:rsidRPr="00BE736B">
        <w:rPr>
          <w:rFonts w:ascii="Calibri" w:hAnsi="Calibri" w:cs="Calibri"/>
          <w:sz w:val="20"/>
          <w:szCs w:val="20"/>
        </w:rPr>
        <w:t>The RPT Form shall also be attached to short period returns required to be filed under existing laws or regulations starting 2021 and subsequent years.</w:t>
      </w:r>
    </w:p>
    <w:p w14:paraId="2BD8DF51" w14:textId="77777777" w:rsidR="001C5772" w:rsidRPr="00BE736B" w:rsidRDefault="001C5772" w:rsidP="001C5772">
      <w:pPr>
        <w:pStyle w:val="ListParagraph"/>
        <w:numPr>
          <w:ilvl w:val="0"/>
          <w:numId w:val="16"/>
        </w:numPr>
        <w:spacing w:after="0" w:line="240" w:lineRule="auto"/>
        <w:rPr>
          <w:rFonts w:ascii="Calibri" w:hAnsi="Calibri" w:cs="Calibri"/>
          <w:sz w:val="20"/>
          <w:szCs w:val="20"/>
        </w:rPr>
      </w:pPr>
      <w:r w:rsidRPr="00BE736B">
        <w:rPr>
          <w:rFonts w:ascii="Calibri" w:hAnsi="Calibri" w:cs="Calibri"/>
          <w:sz w:val="20"/>
          <w:szCs w:val="20"/>
        </w:rPr>
        <w:t>The RPT Form now requires a taxpayer to confirm if it has prepared a TP Documentation that is compliant with the documentation requirements of RR No. 2-2013 or the TP Regulations.</w:t>
      </w:r>
    </w:p>
    <w:p w14:paraId="39FBECEF" w14:textId="77777777" w:rsidR="001C5772" w:rsidRPr="00BE736B" w:rsidRDefault="001C5772" w:rsidP="001C5772">
      <w:pPr>
        <w:pStyle w:val="ListParagraph"/>
        <w:numPr>
          <w:ilvl w:val="0"/>
          <w:numId w:val="16"/>
        </w:numPr>
        <w:spacing w:after="0" w:line="240" w:lineRule="auto"/>
        <w:rPr>
          <w:rFonts w:ascii="Calibri" w:hAnsi="Calibri" w:cs="Calibri"/>
          <w:sz w:val="20"/>
          <w:szCs w:val="20"/>
        </w:rPr>
      </w:pPr>
      <w:r w:rsidRPr="00BE736B">
        <w:rPr>
          <w:rFonts w:ascii="Calibri" w:hAnsi="Calibri" w:cs="Calibri"/>
          <w:sz w:val="20"/>
          <w:szCs w:val="20"/>
        </w:rPr>
        <w:t>Mandatory preparation and submission of TP Documentation for the above taxpayers who meet the following materiality thresholds:</w:t>
      </w:r>
    </w:p>
    <w:p w14:paraId="10BD63BF" w14:textId="77777777" w:rsidR="001C5772" w:rsidRPr="00BE736B" w:rsidRDefault="001C5772" w:rsidP="001C5772">
      <w:pPr>
        <w:pStyle w:val="ListParagraph"/>
        <w:numPr>
          <w:ilvl w:val="0"/>
          <w:numId w:val="17"/>
        </w:numPr>
        <w:spacing w:after="0" w:line="240" w:lineRule="auto"/>
        <w:contextualSpacing w:val="0"/>
        <w:rPr>
          <w:rFonts w:ascii="Calibri" w:eastAsia="Times New Roman" w:hAnsi="Calibri" w:cs="Calibri"/>
          <w:sz w:val="20"/>
          <w:szCs w:val="20"/>
        </w:rPr>
      </w:pPr>
      <w:r w:rsidRPr="00BE736B">
        <w:rPr>
          <w:rFonts w:ascii="Calibri" w:eastAsia="Times New Roman" w:hAnsi="Calibri" w:cs="Calibri"/>
          <w:sz w:val="20"/>
          <w:szCs w:val="20"/>
        </w:rPr>
        <w:t>Annual gross sales/revenue for the subject taxable period exceeding One Hundred Fifty Million Pesos (P150,000,000) and the total amount of related party transactions with foreign and domestic related parties exceed Ninety Million Pesos (P90,000,000).</w:t>
      </w:r>
    </w:p>
    <w:p w14:paraId="4CA83E79" w14:textId="77777777" w:rsidR="001C5772" w:rsidRPr="00BE736B" w:rsidRDefault="001C5772" w:rsidP="001C5772">
      <w:pPr>
        <w:spacing w:after="0" w:line="240" w:lineRule="auto"/>
        <w:rPr>
          <w:rFonts w:ascii="Calibri" w:hAnsi="Calibri" w:cs="Calibri"/>
          <w:sz w:val="20"/>
          <w:szCs w:val="20"/>
        </w:rPr>
      </w:pPr>
    </w:p>
    <w:p w14:paraId="6D71889D" w14:textId="77777777" w:rsidR="001C5772" w:rsidRPr="00BE736B" w:rsidRDefault="001C5772" w:rsidP="001C5772">
      <w:pPr>
        <w:spacing w:after="0" w:line="240" w:lineRule="auto"/>
        <w:ind w:left="720" w:firstLine="720"/>
        <w:rPr>
          <w:rFonts w:ascii="Calibri" w:hAnsi="Calibri" w:cs="Calibri"/>
          <w:sz w:val="20"/>
          <w:szCs w:val="20"/>
        </w:rPr>
      </w:pPr>
      <w:r w:rsidRPr="00BE736B">
        <w:rPr>
          <w:rFonts w:ascii="Calibri" w:hAnsi="Calibri" w:cs="Calibri"/>
          <w:sz w:val="20"/>
          <w:szCs w:val="20"/>
        </w:rPr>
        <w:t>In computing the above threshold, the following items shall be included:</w:t>
      </w:r>
    </w:p>
    <w:p w14:paraId="3792D503" w14:textId="77777777" w:rsidR="001C5772" w:rsidRPr="00BE736B" w:rsidRDefault="001C5772" w:rsidP="001C5772">
      <w:pPr>
        <w:pStyle w:val="ListParagraph"/>
        <w:numPr>
          <w:ilvl w:val="0"/>
          <w:numId w:val="18"/>
        </w:numPr>
        <w:spacing w:after="0" w:line="240" w:lineRule="auto"/>
        <w:ind w:left="1980"/>
        <w:contextualSpacing w:val="0"/>
        <w:rPr>
          <w:rFonts w:ascii="Calibri" w:hAnsi="Calibri" w:cs="Calibri"/>
          <w:sz w:val="20"/>
          <w:szCs w:val="20"/>
        </w:rPr>
      </w:pPr>
      <w:r w:rsidRPr="00BE736B">
        <w:rPr>
          <w:rFonts w:ascii="Calibri" w:hAnsi="Calibri" w:cs="Calibri"/>
          <w:sz w:val="20"/>
          <w:szCs w:val="20"/>
        </w:rPr>
        <w:t>Amounts received and/or receivable from related parties or paid and/or payable to related parties during the taxable year but excluding compensation paid to KMP, dividends and branch profit remittances, and</w:t>
      </w:r>
    </w:p>
    <w:p w14:paraId="1702B62C" w14:textId="77777777" w:rsidR="001C5772" w:rsidRPr="00BE736B" w:rsidRDefault="001C5772" w:rsidP="001C5772">
      <w:pPr>
        <w:pStyle w:val="ListParagraph"/>
        <w:numPr>
          <w:ilvl w:val="0"/>
          <w:numId w:val="18"/>
        </w:numPr>
        <w:spacing w:after="0" w:line="240" w:lineRule="auto"/>
        <w:ind w:left="1980"/>
        <w:contextualSpacing w:val="0"/>
        <w:rPr>
          <w:rFonts w:ascii="Calibri" w:hAnsi="Calibri" w:cs="Calibri"/>
          <w:sz w:val="20"/>
          <w:szCs w:val="20"/>
        </w:rPr>
      </w:pPr>
      <w:r w:rsidRPr="00BE736B">
        <w:rPr>
          <w:rFonts w:ascii="Calibri" w:hAnsi="Calibri" w:cs="Calibri"/>
          <w:sz w:val="20"/>
          <w:szCs w:val="20"/>
        </w:rPr>
        <w:t>Outstanding balances of loans and non-trade amounts due from/to all related parties.</w:t>
      </w:r>
    </w:p>
    <w:p w14:paraId="5E1386E8" w14:textId="77777777" w:rsidR="001C5772" w:rsidRPr="00BE736B" w:rsidRDefault="001C5772" w:rsidP="001C5772">
      <w:pPr>
        <w:spacing w:after="0" w:line="240" w:lineRule="auto"/>
        <w:rPr>
          <w:rFonts w:ascii="Calibri" w:hAnsi="Calibri" w:cs="Calibri"/>
          <w:sz w:val="20"/>
          <w:szCs w:val="20"/>
        </w:rPr>
      </w:pPr>
    </w:p>
    <w:p w14:paraId="2E2B52B7" w14:textId="77777777" w:rsidR="001C5772" w:rsidRPr="00BE736B" w:rsidRDefault="001C5772" w:rsidP="001C5772">
      <w:pPr>
        <w:spacing w:after="0" w:line="240" w:lineRule="auto"/>
        <w:ind w:left="1440"/>
        <w:rPr>
          <w:rFonts w:ascii="Calibri" w:hAnsi="Calibri" w:cs="Calibri"/>
          <w:sz w:val="20"/>
          <w:szCs w:val="20"/>
        </w:rPr>
      </w:pPr>
      <w:r w:rsidRPr="00BE736B">
        <w:rPr>
          <w:rFonts w:ascii="Calibri" w:hAnsi="Calibri" w:cs="Calibri"/>
          <w:sz w:val="20"/>
          <w:szCs w:val="20"/>
        </w:rPr>
        <w:t>RP transactions covered by an Advance Pricing Agreement (APA) need not be disclosed in the RPT Form but shall nonetheless be included in the computation of the amount of RP transactions following the prescribed formula, or</w:t>
      </w:r>
    </w:p>
    <w:p w14:paraId="4F11078D" w14:textId="77777777" w:rsidR="001C5772" w:rsidRPr="00BE736B" w:rsidRDefault="001C5772" w:rsidP="001C5772">
      <w:pPr>
        <w:spacing w:after="0" w:line="240" w:lineRule="auto"/>
        <w:rPr>
          <w:rFonts w:ascii="Calibri" w:hAnsi="Calibri" w:cs="Calibri"/>
          <w:sz w:val="20"/>
          <w:szCs w:val="20"/>
        </w:rPr>
      </w:pPr>
    </w:p>
    <w:p w14:paraId="5B5B9A97" w14:textId="77777777" w:rsidR="001C5772" w:rsidRPr="00BE736B" w:rsidRDefault="001C5772" w:rsidP="001C5772">
      <w:pPr>
        <w:pStyle w:val="ListParagraph"/>
        <w:numPr>
          <w:ilvl w:val="0"/>
          <w:numId w:val="17"/>
        </w:numPr>
        <w:spacing w:after="0" w:line="240" w:lineRule="auto"/>
        <w:contextualSpacing w:val="0"/>
        <w:rPr>
          <w:rFonts w:ascii="Calibri" w:eastAsia="Times New Roman" w:hAnsi="Calibri" w:cs="Calibri"/>
          <w:sz w:val="20"/>
          <w:szCs w:val="20"/>
        </w:rPr>
      </w:pPr>
      <w:r w:rsidRPr="00BE736B">
        <w:rPr>
          <w:rFonts w:ascii="Calibri" w:eastAsia="Times New Roman" w:hAnsi="Calibri" w:cs="Calibri"/>
          <w:sz w:val="20"/>
          <w:szCs w:val="20"/>
        </w:rPr>
        <w:t>RP transactions meeting the following materiality threshold:</w:t>
      </w:r>
    </w:p>
    <w:p w14:paraId="6446820C" w14:textId="77777777" w:rsidR="001C5772" w:rsidRPr="00BE736B" w:rsidRDefault="001C5772" w:rsidP="001C5772">
      <w:pPr>
        <w:spacing w:after="0" w:line="240" w:lineRule="auto"/>
        <w:rPr>
          <w:rFonts w:ascii="Calibri" w:hAnsi="Calibri" w:cs="Calibri"/>
          <w:sz w:val="20"/>
          <w:szCs w:val="20"/>
        </w:rPr>
      </w:pPr>
    </w:p>
    <w:p w14:paraId="7FF7F579" w14:textId="77777777" w:rsidR="001C5772" w:rsidRPr="00BE736B" w:rsidRDefault="001C5772" w:rsidP="001C5772">
      <w:pPr>
        <w:pStyle w:val="ListParagraph"/>
        <w:numPr>
          <w:ilvl w:val="0"/>
          <w:numId w:val="19"/>
        </w:numPr>
        <w:spacing w:after="0" w:line="240" w:lineRule="auto"/>
        <w:ind w:left="1980"/>
        <w:contextualSpacing w:val="0"/>
        <w:rPr>
          <w:rFonts w:ascii="Calibri" w:eastAsia="Times New Roman" w:hAnsi="Calibri" w:cs="Calibri"/>
          <w:sz w:val="20"/>
          <w:szCs w:val="20"/>
        </w:rPr>
      </w:pPr>
      <w:r w:rsidRPr="00BE736B">
        <w:rPr>
          <w:rFonts w:ascii="Calibri" w:eastAsia="Times New Roman" w:hAnsi="Calibri" w:cs="Calibri"/>
          <w:sz w:val="20"/>
          <w:szCs w:val="20"/>
        </w:rPr>
        <w:t>If involving sale of tangible goods in the aggregate amount exceeding Sixty Million Pesos (P60,000,000) within the taxable year</w:t>
      </w:r>
    </w:p>
    <w:p w14:paraId="66913178" w14:textId="77777777" w:rsidR="001C5772" w:rsidRPr="00BE736B" w:rsidRDefault="001C5772" w:rsidP="001C5772">
      <w:pPr>
        <w:pStyle w:val="ListParagraph"/>
        <w:numPr>
          <w:ilvl w:val="0"/>
          <w:numId w:val="19"/>
        </w:numPr>
        <w:spacing w:after="0" w:line="240" w:lineRule="auto"/>
        <w:ind w:left="1980"/>
        <w:contextualSpacing w:val="0"/>
        <w:rPr>
          <w:rFonts w:ascii="Calibri" w:eastAsia="Times New Roman" w:hAnsi="Calibri" w:cs="Calibri"/>
          <w:sz w:val="20"/>
          <w:szCs w:val="20"/>
        </w:rPr>
      </w:pPr>
      <w:r w:rsidRPr="00BE736B">
        <w:rPr>
          <w:rFonts w:ascii="Calibri" w:eastAsia="Times New Roman" w:hAnsi="Calibri" w:cs="Calibri"/>
          <w:sz w:val="20"/>
          <w:szCs w:val="20"/>
        </w:rPr>
        <w:t>If involving service transaction, payment of interest, utilization of intangible goods or other related party transaction in the aggregate amount exceeding Fifteen Million Pesos (P15,000,000) within the taxable year, or</w:t>
      </w:r>
    </w:p>
    <w:p w14:paraId="6B23B503" w14:textId="77777777" w:rsidR="001C5772" w:rsidRPr="00BE736B" w:rsidRDefault="001C5772" w:rsidP="001C5772">
      <w:pPr>
        <w:spacing w:after="0" w:line="240" w:lineRule="auto"/>
        <w:rPr>
          <w:rFonts w:ascii="Calibri" w:hAnsi="Calibri" w:cs="Calibri"/>
          <w:sz w:val="20"/>
          <w:szCs w:val="20"/>
        </w:rPr>
      </w:pPr>
    </w:p>
    <w:p w14:paraId="53E42DEC" w14:textId="77777777" w:rsidR="001C5772" w:rsidRPr="00BE736B" w:rsidRDefault="001C5772" w:rsidP="001C5772">
      <w:pPr>
        <w:pStyle w:val="ListParagraph"/>
        <w:numPr>
          <w:ilvl w:val="0"/>
          <w:numId w:val="17"/>
        </w:numPr>
        <w:spacing w:after="0" w:line="240" w:lineRule="auto"/>
        <w:contextualSpacing w:val="0"/>
        <w:rPr>
          <w:rFonts w:ascii="Calibri" w:eastAsia="Times New Roman" w:hAnsi="Calibri" w:cs="Calibri"/>
          <w:sz w:val="20"/>
          <w:szCs w:val="20"/>
        </w:rPr>
      </w:pPr>
      <w:r w:rsidRPr="00BE736B">
        <w:rPr>
          <w:rFonts w:ascii="Calibri" w:eastAsia="Times New Roman" w:hAnsi="Calibri" w:cs="Calibri"/>
          <w:sz w:val="20"/>
          <w:szCs w:val="20"/>
        </w:rPr>
        <w:t>If TP documentation was required to be prepared during the immediately preceding taxable period for exceeding either (a) or (b) above.</w:t>
      </w:r>
    </w:p>
    <w:p w14:paraId="73C29E0F" w14:textId="77777777" w:rsidR="001C5772" w:rsidRPr="00BE736B" w:rsidRDefault="001C5772" w:rsidP="001C5772">
      <w:pPr>
        <w:pStyle w:val="ListParagraph"/>
        <w:spacing w:after="0" w:line="240" w:lineRule="auto"/>
        <w:ind w:left="1440"/>
        <w:contextualSpacing w:val="0"/>
        <w:rPr>
          <w:rFonts w:ascii="Calibri" w:eastAsia="Times New Roman" w:hAnsi="Calibri" w:cs="Calibri"/>
          <w:sz w:val="20"/>
          <w:szCs w:val="20"/>
        </w:rPr>
      </w:pPr>
    </w:p>
    <w:p w14:paraId="0C3691CD" w14:textId="77777777" w:rsidR="001C5772" w:rsidRPr="00BE736B" w:rsidRDefault="001C5772" w:rsidP="001C5772">
      <w:pPr>
        <w:pStyle w:val="ListParagraph"/>
        <w:numPr>
          <w:ilvl w:val="0"/>
          <w:numId w:val="20"/>
        </w:numPr>
        <w:spacing w:after="0" w:line="240" w:lineRule="auto"/>
        <w:rPr>
          <w:rFonts w:ascii="Calibri" w:hAnsi="Calibri" w:cs="Calibri"/>
          <w:sz w:val="20"/>
          <w:szCs w:val="20"/>
        </w:rPr>
      </w:pPr>
      <w:r w:rsidRPr="00BE736B">
        <w:rPr>
          <w:rFonts w:ascii="Calibri" w:hAnsi="Calibri" w:cs="Calibri"/>
          <w:sz w:val="20"/>
          <w:szCs w:val="20"/>
        </w:rPr>
        <w:t xml:space="preserve">The TP Documentation and other supporting documents as set out in Section 6 of RR No. 19-2020 shall no longer be attached to the RPT Form, but shall be submitted within thirty (30) calendar days upon receipt of request by the Commission or his/her duly authorized representative, pursuant to a duly issued Letter of Authority covering all internal revenue taxes, subject to non-extendible period of thirty (30) calendar days based on meritorious grounds. </w:t>
      </w:r>
    </w:p>
    <w:p w14:paraId="24840BC3" w14:textId="77777777" w:rsidR="001C5772" w:rsidRPr="00BE736B" w:rsidRDefault="001C5772" w:rsidP="001C5772">
      <w:pPr>
        <w:pStyle w:val="ListParagraph"/>
        <w:numPr>
          <w:ilvl w:val="0"/>
          <w:numId w:val="20"/>
        </w:numPr>
        <w:spacing w:after="0" w:line="240" w:lineRule="auto"/>
        <w:rPr>
          <w:rFonts w:ascii="Calibri" w:hAnsi="Calibri" w:cs="Calibri"/>
          <w:sz w:val="20"/>
          <w:szCs w:val="20"/>
        </w:rPr>
      </w:pPr>
      <w:r w:rsidRPr="00BE736B">
        <w:rPr>
          <w:rFonts w:ascii="Calibri" w:hAnsi="Calibri" w:cs="Calibri"/>
          <w:sz w:val="20"/>
          <w:szCs w:val="20"/>
        </w:rPr>
        <w:t>Taxpayers who are not required to file and submit the RPT Form as enumerated above are required to disclose in the Notes to the Financial Statements that they are not covered by the requirements and procedures for RP transactions provided under this RR, in addition to the requirements provided under RR No. 21-2002, as amended by RR No. 15-2010.</w:t>
      </w:r>
    </w:p>
    <w:p w14:paraId="78C40AB5" w14:textId="77777777" w:rsidR="001C5772" w:rsidRPr="00BE736B" w:rsidRDefault="001C5772" w:rsidP="001C5772">
      <w:pPr>
        <w:pStyle w:val="ListParagraph"/>
        <w:numPr>
          <w:ilvl w:val="0"/>
          <w:numId w:val="20"/>
        </w:numPr>
        <w:spacing w:after="0" w:line="240" w:lineRule="auto"/>
        <w:rPr>
          <w:rFonts w:ascii="Calibri" w:hAnsi="Calibri" w:cs="Calibri"/>
          <w:sz w:val="20"/>
          <w:szCs w:val="20"/>
        </w:rPr>
      </w:pPr>
      <w:r w:rsidRPr="00BE736B">
        <w:rPr>
          <w:rFonts w:ascii="Calibri" w:hAnsi="Calibri" w:cs="Calibri"/>
          <w:sz w:val="20"/>
          <w:szCs w:val="20"/>
        </w:rPr>
        <w:t>Any violation of the provisions of this issuance shall be subject to penalties provided in Sections 250, 266, and other relevant provisions of the NIRC, as amended.</w:t>
      </w:r>
    </w:p>
    <w:p w14:paraId="13DBBDEA" w14:textId="77777777" w:rsidR="001C5772" w:rsidRPr="00BE736B" w:rsidRDefault="001C5772" w:rsidP="001C5772">
      <w:pPr>
        <w:pStyle w:val="ListParagraph"/>
        <w:numPr>
          <w:ilvl w:val="0"/>
          <w:numId w:val="20"/>
        </w:numPr>
        <w:spacing w:after="0" w:line="240" w:lineRule="auto"/>
        <w:rPr>
          <w:rFonts w:ascii="Calibri" w:hAnsi="Calibri" w:cs="Calibri"/>
          <w:sz w:val="20"/>
          <w:szCs w:val="20"/>
        </w:rPr>
      </w:pPr>
      <w:r w:rsidRPr="00BE736B">
        <w:rPr>
          <w:rFonts w:ascii="Calibri" w:hAnsi="Calibri" w:cs="Calibri"/>
          <w:sz w:val="20"/>
          <w:szCs w:val="20"/>
        </w:rPr>
        <w:t>This RR shall take effect immediately following its publication in a newspaper of general circulation. (Editor’s Note: RR No. 34-2020 was published on 23 December 2020 in The Philippine Star)</w:t>
      </w:r>
    </w:p>
    <w:p w14:paraId="70116CBB" w14:textId="77777777" w:rsidR="001C5772" w:rsidRPr="00BE736B" w:rsidRDefault="001C5772" w:rsidP="001C5772">
      <w:pPr>
        <w:pStyle w:val="ListParagraph"/>
        <w:numPr>
          <w:ilvl w:val="0"/>
          <w:numId w:val="20"/>
        </w:numPr>
        <w:spacing w:after="0" w:line="240" w:lineRule="auto"/>
        <w:rPr>
          <w:rFonts w:ascii="Calibri" w:hAnsi="Calibri" w:cs="Calibri"/>
          <w:sz w:val="20"/>
          <w:szCs w:val="20"/>
        </w:rPr>
      </w:pPr>
      <w:r w:rsidRPr="00BE736B">
        <w:rPr>
          <w:rFonts w:ascii="Calibri" w:hAnsi="Calibri" w:cs="Calibri"/>
          <w:sz w:val="20"/>
          <w:szCs w:val="20"/>
        </w:rPr>
        <w:t>The pertinent provisions of RR No. 19-2020, its clarifying Revenue Memorandum Circular No. 76-2020 and other relevant issuances that are inconsistent herewith are repealed, amended or modified accordingly.</w:t>
      </w:r>
    </w:p>
    <w:p w14:paraId="67854103" w14:textId="77777777" w:rsidR="001C5772" w:rsidRPr="00BE736B" w:rsidRDefault="001C5772" w:rsidP="001C5772">
      <w:pPr>
        <w:rPr>
          <w:rFonts w:ascii="Calibri" w:hAnsi="Calibri" w:cs="Calibri"/>
          <w:b/>
          <w:bCs/>
          <w:sz w:val="20"/>
          <w:szCs w:val="20"/>
        </w:rPr>
      </w:pPr>
    </w:p>
    <w:p w14:paraId="7E1BEC53" w14:textId="77777777" w:rsidR="001C5772" w:rsidRPr="00BE736B" w:rsidRDefault="001C5772" w:rsidP="001C5772">
      <w:pPr>
        <w:pStyle w:val="ListParagraph"/>
        <w:numPr>
          <w:ilvl w:val="0"/>
          <w:numId w:val="6"/>
        </w:numPr>
        <w:ind w:left="0" w:firstLine="0"/>
        <w:rPr>
          <w:rFonts w:ascii="Calibri" w:hAnsi="Calibri" w:cs="Calibri"/>
          <w:b/>
          <w:bCs/>
          <w:sz w:val="20"/>
          <w:szCs w:val="20"/>
        </w:rPr>
      </w:pPr>
      <w:r w:rsidRPr="00BE736B">
        <w:rPr>
          <w:rFonts w:ascii="Calibri" w:hAnsi="Calibri" w:cs="Calibri"/>
          <w:b/>
          <w:bCs/>
          <w:sz w:val="20"/>
          <w:szCs w:val="20"/>
        </w:rPr>
        <w:t>REVENUE MEMORANDUM CIRCULARS</w:t>
      </w:r>
    </w:p>
    <w:p w14:paraId="10461CFF" w14:textId="77777777" w:rsidR="001C5772" w:rsidRPr="00BE736B" w:rsidRDefault="001C5772" w:rsidP="001C5772">
      <w:pPr>
        <w:pStyle w:val="ListParagraph"/>
        <w:rPr>
          <w:rFonts w:ascii="Calibri" w:hAnsi="Calibri" w:cs="Calibri"/>
          <w:bCs/>
          <w:sz w:val="20"/>
          <w:szCs w:val="20"/>
        </w:rPr>
      </w:pPr>
    </w:p>
    <w:p w14:paraId="6CD32B64" w14:textId="77777777" w:rsidR="001C5772" w:rsidRPr="00BE736B" w:rsidRDefault="001C5772" w:rsidP="001C5772">
      <w:pPr>
        <w:pStyle w:val="ListParagraph"/>
        <w:ind w:right="720"/>
        <w:rPr>
          <w:rFonts w:ascii="Calibri" w:hAnsi="Calibri" w:cs="Calibri"/>
          <w:b/>
          <w:bCs/>
          <w:sz w:val="20"/>
          <w:szCs w:val="20"/>
        </w:rPr>
      </w:pPr>
      <w:r w:rsidRPr="00BE736B">
        <w:rPr>
          <w:rFonts w:ascii="Calibri" w:hAnsi="Calibri" w:cs="Calibri"/>
          <w:b/>
          <w:bCs/>
          <w:sz w:val="20"/>
          <w:szCs w:val="20"/>
        </w:rPr>
        <w:t xml:space="preserve">REVENUE MEMORANDUM CIRCULAR NO. 138-2020 (December 23, 2020) </w:t>
      </w:r>
      <w:r w:rsidRPr="00BE736B">
        <w:rPr>
          <w:rFonts w:ascii="Calibri" w:eastAsia="Calibri" w:hAnsi="Calibri" w:cs="Calibri"/>
          <w:b/>
          <w:sz w:val="20"/>
          <w:szCs w:val="20"/>
        </w:rPr>
        <w:t xml:space="preserve">issued on </w:t>
      </w:r>
      <w:r w:rsidRPr="00BE736B">
        <w:rPr>
          <w:rFonts w:ascii="Calibri" w:hAnsi="Calibri" w:cs="Calibri"/>
          <w:b/>
          <w:bCs/>
          <w:sz w:val="20"/>
          <w:szCs w:val="20"/>
        </w:rPr>
        <w:t xml:space="preserve">December 23, 2020 - Clarifying Revenue Regulations No. 25-2020 on the </w:t>
      </w:r>
      <w:proofErr w:type="spellStart"/>
      <w:r w:rsidRPr="00BE736B">
        <w:rPr>
          <w:rFonts w:ascii="Calibri" w:hAnsi="Calibri" w:cs="Calibri"/>
          <w:b/>
          <w:bCs/>
          <w:sz w:val="20"/>
          <w:szCs w:val="20"/>
        </w:rPr>
        <w:t>availment</w:t>
      </w:r>
      <w:proofErr w:type="spellEnd"/>
      <w:r w:rsidRPr="00BE736B">
        <w:rPr>
          <w:rFonts w:ascii="Calibri" w:hAnsi="Calibri" w:cs="Calibri"/>
          <w:b/>
          <w:bCs/>
          <w:sz w:val="20"/>
          <w:szCs w:val="20"/>
        </w:rPr>
        <w:t xml:space="preserve"> of Net Operating Loss Carry-over (NOLCO) for taxpayers adopting fiscal year</w:t>
      </w:r>
    </w:p>
    <w:p w14:paraId="7C34837A" w14:textId="77777777" w:rsidR="001C5772" w:rsidRPr="00BE736B" w:rsidRDefault="001C5772" w:rsidP="001C5772">
      <w:pPr>
        <w:pStyle w:val="ListParagraph"/>
        <w:ind w:left="360" w:right="720"/>
        <w:rPr>
          <w:rFonts w:ascii="Calibri" w:hAnsi="Calibri" w:cs="Calibri"/>
          <w:b/>
          <w:bCs/>
          <w:sz w:val="20"/>
          <w:szCs w:val="20"/>
        </w:rPr>
      </w:pPr>
    </w:p>
    <w:p w14:paraId="05A4CBBF" w14:textId="77777777" w:rsidR="001C5772" w:rsidRPr="00BE736B" w:rsidRDefault="001C5772" w:rsidP="001C5772">
      <w:pPr>
        <w:pStyle w:val="ListParagraph"/>
        <w:numPr>
          <w:ilvl w:val="0"/>
          <w:numId w:val="7"/>
        </w:numPr>
        <w:ind w:right="720"/>
        <w:jc w:val="both"/>
        <w:rPr>
          <w:rFonts w:ascii="Calibri" w:hAnsi="Calibri" w:cs="Calibri"/>
          <w:sz w:val="20"/>
          <w:szCs w:val="20"/>
        </w:rPr>
      </w:pPr>
      <w:r w:rsidRPr="00BE736B">
        <w:rPr>
          <w:rFonts w:ascii="Calibri" w:hAnsi="Calibri" w:cs="Calibri"/>
          <w:sz w:val="20"/>
          <w:szCs w:val="20"/>
        </w:rPr>
        <w:t>In September 30, 2020, Revenue Regulations No. 25-2020 was issued to implement Section 4 (</w:t>
      </w:r>
      <w:proofErr w:type="spellStart"/>
      <w:r w:rsidRPr="00BE736B">
        <w:rPr>
          <w:rFonts w:ascii="Calibri" w:hAnsi="Calibri" w:cs="Calibri"/>
          <w:sz w:val="20"/>
          <w:szCs w:val="20"/>
        </w:rPr>
        <w:t>bbbb</w:t>
      </w:r>
      <w:proofErr w:type="spellEnd"/>
      <w:r w:rsidRPr="00BE736B">
        <w:rPr>
          <w:rFonts w:ascii="Calibri" w:hAnsi="Calibri" w:cs="Calibri"/>
          <w:sz w:val="20"/>
          <w:szCs w:val="20"/>
        </w:rPr>
        <w:t>) of Republic Act No. 11494 or the "</w:t>
      </w:r>
      <w:proofErr w:type="spellStart"/>
      <w:r w:rsidRPr="00BE736B">
        <w:rPr>
          <w:rFonts w:ascii="Calibri" w:hAnsi="Calibri" w:cs="Calibri"/>
          <w:sz w:val="20"/>
          <w:szCs w:val="20"/>
        </w:rPr>
        <w:t>Bayanihan</w:t>
      </w:r>
      <w:proofErr w:type="spellEnd"/>
      <w:r w:rsidRPr="00BE736B">
        <w:rPr>
          <w:rFonts w:ascii="Calibri" w:hAnsi="Calibri" w:cs="Calibri"/>
          <w:sz w:val="20"/>
          <w:szCs w:val="20"/>
        </w:rPr>
        <w:t xml:space="preserve"> to Recover as One Act" relative to the Net Operating Loss Carry-over (NOLCO) incurred by businesses for taxable years 2020 and 2021.  Based on the said regulations, the business or enterprise which incurred net operating loss for taxable years 2020 and 2021 shall be allowed to carry over the same as a deduction from its gross income for the next five (5) consecutive taxable years immediately following the year of such loss.</w:t>
      </w:r>
    </w:p>
    <w:p w14:paraId="1E290B92"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In the regulations, “fiscal year” means an accounting period of twelve (12) months ending on the last day of any month other than December. Taxable years 2020 and 2021 shall include all those corporations with fiscal years ending on or before June 30, 2021, and June 30, 2022, respectively.</w:t>
      </w:r>
    </w:p>
    <w:p w14:paraId="27ADA7D2"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Revenue Memorandum Circular No. 138-2020 was issued to clarify the regulations and identify the fiscal years that are counted under taxable years 2020 and 2021.  The following fiscal year ending on the stated months are counted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0"/>
        <w:gridCol w:w="3505"/>
      </w:tblGrid>
      <w:tr w:rsidR="001C5772" w:rsidRPr="00BE736B" w14:paraId="7B652420" w14:textId="77777777" w:rsidTr="00BE736B">
        <w:trPr>
          <w:jc w:val="center"/>
        </w:trPr>
        <w:tc>
          <w:tcPr>
            <w:tcW w:w="3780" w:type="dxa"/>
            <w:shd w:val="clear" w:color="auto" w:fill="D9D9D9" w:themeFill="background1" w:themeFillShade="D9"/>
            <w:tcMar>
              <w:top w:w="0" w:type="dxa"/>
              <w:left w:w="108" w:type="dxa"/>
              <w:bottom w:w="0" w:type="dxa"/>
              <w:right w:w="108" w:type="dxa"/>
            </w:tcMar>
          </w:tcPr>
          <w:p w14:paraId="4C0BFD94" w14:textId="77777777" w:rsidR="001C5772" w:rsidRPr="00BE736B" w:rsidRDefault="001C5772" w:rsidP="00BE736B">
            <w:pPr>
              <w:pStyle w:val="xmsonormal"/>
              <w:rPr>
                <w:sz w:val="20"/>
                <w:szCs w:val="20"/>
              </w:rPr>
            </w:pPr>
            <w:r w:rsidRPr="00BE736B">
              <w:rPr>
                <w:b/>
                <w:bCs/>
                <w:sz w:val="20"/>
                <w:szCs w:val="20"/>
              </w:rPr>
              <w:lastRenderedPageBreak/>
              <w:t xml:space="preserve">Taxable </w:t>
            </w:r>
            <w:r w:rsidRPr="00BE736B">
              <w:rPr>
                <w:b/>
                <w:bCs/>
                <w:color w:val="000000"/>
                <w:sz w:val="20"/>
                <w:szCs w:val="20"/>
              </w:rPr>
              <w:t>Year 2020</w:t>
            </w:r>
          </w:p>
        </w:tc>
        <w:tc>
          <w:tcPr>
            <w:tcW w:w="3505" w:type="dxa"/>
            <w:shd w:val="clear" w:color="auto" w:fill="D9D9D9" w:themeFill="background1" w:themeFillShade="D9"/>
            <w:tcMar>
              <w:top w:w="0" w:type="dxa"/>
              <w:left w:w="108" w:type="dxa"/>
              <w:bottom w:w="0" w:type="dxa"/>
              <w:right w:w="108" w:type="dxa"/>
            </w:tcMar>
          </w:tcPr>
          <w:p w14:paraId="030BEBE3" w14:textId="77777777" w:rsidR="001C5772" w:rsidRPr="00BE736B" w:rsidRDefault="001C5772" w:rsidP="00BE736B">
            <w:pPr>
              <w:pStyle w:val="xmsonormal"/>
              <w:rPr>
                <w:sz w:val="20"/>
                <w:szCs w:val="20"/>
              </w:rPr>
            </w:pPr>
            <w:r w:rsidRPr="00BE736B">
              <w:rPr>
                <w:b/>
                <w:bCs/>
                <w:color w:val="000000"/>
                <w:sz w:val="20"/>
                <w:szCs w:val="20"/>
              </w:rPr>
              <w:t>Taxable Year 2021</w:t>
            </w:r>
          </w:p>
        </w:tc>
      </w:tr>
      <w:tr w:rsidR="001C5772" w:rsidRPr="00BE736B" w14:paraId="35A2723D" w14:textId="77777777" w:rsidTr="00BE736B">
        <w:trPr>
          <w:jc w:val="center"/>
        </w:trPr>
        <w:tc>
          <w:tcPr>
            <w:tcW w:w="3780" w:type="dxa"/>
            <w:tcMar>
              <w:top w:w="0" w:type="dxa"/>
              <w:left w:w="108" w:type="dxa"/>
              <w:bottom w:w="0" w:type="dxa"/>
              <w:right w:w="108" w:type="dxa"/>
            </w:tcMar>
            <w:hideMark/>
          </w:tcPr>
          <w:p w14:paraId="7227D676" w14:textId="77777777" w:rsidR="001C5772" w:rsidRPr="00BE736B" w:rsidRDefault="001C5772" w:rsidP="00BE736B">
            <w:pPr>
              <w:pStyle w:val="xmsonormal"/>
              <w:rPr>
                <w:sz w:val="20"/>
                <w:szCs w:val="20"/>
              </w:rPr>
            </w:pPr>
            <w:r w:rsidRPr="00BE736B">
              <w:rPr>
                <w:sz w:val="20"/>
                <w:szCs w:val="20"/>
              </w:rPr>
              <w:t>FY ending July 31, 2020</w:t>
            </w:r>
          </w:p>
        </w:tc>
        <w:tc>
          <w:tcPr>
            <w:tcW w:w="3505" w:type="dxa"/>
            <w:tcMar>
              <w:top w:w="0" w:type="dxa"/>
              <w:left w:w="108" w:type="dxa"/>
              <w:bottom w:w="0" w:type="dxa"/>
              <w:right w:w="108" w:type="dxa"/>
            </w:tcMar>
            <w:hideMark/>
          </w:tcPr>
          <w:p w14:paraId="7D5B60ED" w14:textId="77777777" w:rsidR="001C5772" w:rsidRPr="00BE736B" w:rsidRDefault="001C5772" w:rsidP="00BE736B">
            <w:pPr>
              <w:pStyle w:val="xmsonormal"/>
              <w:rPr>
                <w:sz w:val="20"/>
                <w:szCs w:val="20"/>
              </w:rPr>
            </w:pPr>
            <w:r w:rsidRPr="00BE736B">
              <w:rPr>
                <w:sz w:val="20"/>
                <w:szCs w:val="20"/>
              </w:rPr>
              <w:t>FY ending July 31, 2021</w:t>
            </w:r>
          </w:p>
        </w:tc>
      </w:tr>
      <w:tr w:rsidR="001C5772" w:rsidRPr="00BE736B" w14:paraId="5BE508B5" w14:textId="77777777" w:rsidTr="00BE736B">
        <w:trPr>
          <w:jc w:val="center"/>
        </w:trPr>
        <w:tc>
          <w:tcPr>
            <w:tcW w:w="3780" w:type="dxa"/>
            <w:tcMar>
              <w:top w:w="0" w:type="dxa"/>
              <w:left w:w="108" w:type="dxa"/>
              <w:bottom w:w="0" w:type="dxa"/>
              <w:right w:w="108" w:type="dxa"/>
            </w:tcMar>
            <w:hideMark/>
          </w:tcPr>
          <w:p w14:paraId="340557AA" w14:textId="77777777" w:rsidR="001C5772" w:rsidRPr="00BE736B" w:rsidRDefault="001C5772" w:rsidP="00BE736B">
            <w:pPr>
              <w:pStyle w:val="xmsonormal"/>
              <w:rPr>
                <w:sz w:val="20"/>
                <w:szCs w:val="20"/>
              </w:rPr>
            </w:pPr>
            <w:r w:rsidRPr="00BE736B">
              <w:rPr>
                <w:sz w:val="20"/>
                <w:szCs w:val="20"/>
              </w:rPr>
              <w:t>FY ending August 31, 2020</w:t>
            </w:r>
          </w:p>
        </w:tc>
        <w:tc>
          <w:tcPr>
            <w:tcW w:w="3505" w:type="dxa"/>
            <w:tcMar>
              <w:top w:w="0" w:type="dxa"/>
              <w:left w:w="108" w:type="dxa"/>
              <w:bottom w:w="0" w:type="dxa"/>
              <w:right w:w="108" w:type="dxa"/>
            </w:tcMar>
            <w:hideMark/>
          </w:tcPr>
          <w:p w14:paraId="4C00F5DD" w14:textId="77777777" w:rsidR="001C5772" w:rsidRPr="00BE736B" w:rsidRDefault="001C5772" w:rsidP="00BE736B">
            <w:pPr>
              <w:pStyle w:val="xmsonormal"/>
              <w:rPr>
                <w:sz w:val="20"/>
                <w:szCs w:val="20"/>
              </w:rPr>
            </w:pPr>
            <w:r w:rsidRPr="00BE736B">
              <w:rPr>
                <w:sz w:val="20"/>
                <w:szCs w:val="20"/>
              </w:rPr>
              <w:t>FY ending August 31, 2021</w:t>
            </w:r>
          </w:p>
        </w:tc>
      </w:tr>
      <w:tr w:rsidR="001C5772" w:rsidRPr="00BE736B" w14:paraId="07A8437B" w14:textId="77777777" w:rsidTr="00BE736B">
        <w:trPr>
          <w:jc w:val="center"/>
        </w:trPr>
        <w:tc>
          <w:tcPr>
            <w:tcW w:w="3780" w:type="dxa"/>
            <w:tcMar>
              <w:top w:w="0" w:type="dxa"/>
              <w:left w:w="108" w:type="dxa"/>
              <w:bottom w:w="0" w:type="dxa"/>
              <w:right w:w="108" w:type="dxa"/>
            </w:tcMar>
            <w:hideMark/>
          </w:tcPr>
          <w:p w14:paraId="7C8BF765" w14:textId="77777777" w:rsidR="001C5772" w:rsidRPr="00BE736B" w:rsidRDefault="001C5772" w:rsidP="00BE736B">
            <w:pPr>
              <w:pStyle w:val="xmsonormal"/>
              <w:rPr>
                <w:sz w:val="20"/>
                <w:szCs w:val="20"/>
              </w:rPr>
            </w:pPr>
            <w:r w:rsidRPr="00BE736B">
              <w:rPr>
                <w:sz w:val="20"/>
                <w:szCs w:val="20"/>
              </w:rPr>
              <w:t>FY ending September 30, 2020</w:t>
            </w:r>
          </w:p>
        </w:tc>
        <w:tc>
          <w:tcPr>
            <w:tcW w:w="3505" w:type="dxa"/>
            <w:tcMar>
              <w:top w:w="0" w:type="dxa"/>
              <w:left w:w="108" w:type="dxa"/>
              <w:bottom w:w="0" w:type="dxa"/>
              <w:right w:w="108" w:type="dxa"/>
            </w:tcMar>
            <w:hideMark/>
          </w:tcPr>
          <w:p w14:paraId="209ED042" w14:textId="77777777" w:rsidR="001C5772" w:rsidRPr="00BE736B" w:rsidRDefault="001C5772" w:rsidP="00BE736B">
            <w:pPr>
              <w:pStyle w:val="xmsonormal"/>
              <w:rPr>
                <w:sz w:val="20"/>
                <w:szCs w:val="20"/>
              </w:rPr>
            </w:pPr>
            <w:r w:rsidRPr="00BE736B">
              <w:rPr>
                <w:sz w:val="20"/>
                <w:szCs w:val="20"/>
              </w:rPr>
              <w:t>FY ending September 30, 2021</w:t>
            </w:r>
          </w:p>
        </w:tc>
      </w:tr>
      <w:tr w:rsidR="001C5772" w:rsidRPr="00BE736B" w14:paraId="2161CCB4" w14:textId="77777777" w:rsidTr="00BE736B">
        <w:trPr>
          <w:jc w:val="center"/>
        </w:trPr>
        <w:tc>
          <w:tcPr>
            <w:tcW w:w="3780" w:type="dxa"/>
            <w:tcMar>
              <w:top w:w="0" w:type="dxa"/>
              <w:left w:w="108" w:type="dxa"/>
              <w:bottom w:w="0" w:type="dxa"/>
              <w:right w:w="108" w:type="dxa"/>
            </w:tcMar>
            <w:hideMark/>
          </w:tcPr>
          <w:p w14:paraId="5D316E71" w14:textId="77777777" w:rsidR="001C5772" w:rsidRPr="00BE736B" w:rsidRDefault="001C5772" w:rsidP="00BE736B">
            <w:pPr>
              <w:pStyle w:val="xmsonormal"/>
              <w:rPr>
                <w:sz w:val="20"/>
                <w:szCs w:val="20"/>
              </w:rPr>
            </w:pPr>
            <w:r w:rsidRPr="00BE736B">
              <w:rPr>
                <w:sz w:val="20"/>
                <w:szCs w:val="20"/>
              </w:rPr>
              <w:t>FY ending October 31, 2020</w:t>
            </w:r>
          </w:p>
        </w:tc>
        <w:tc>
          <w:tcPr>
            <w:tcW w:w="3505" w:type="dxa"/>
            <w:tcMar>
              <w:top w:w="0" w:type="dxa"/>
              <w:left w:w="108" w:type="dxa"/>
              <w:bottom w:w="0" w:type="dxa"/>
              <w:right w:w="108" w:type="dxa"/>
            </w:tcMar>
            <w:hideMark/>
          </w:tcPr>
          <w:p w14:paraId="4C66DE0F" w14:textId="77777777" w:rsidR="001C5772" w:rsidRPr="00BE736B" w:rsidRDefault="001C5772" w:rsidP="00BE736B">
            <w:pPr>
              <w:pStyle w:val="xmsonormal"/>
              <w:rPr>
                <w:sz w:val="20"/>
                <w:szCs w:val="20"/>
              </w:rPr>
            </w:pPr>
            <w:r w:rsidRPr="00BE736B">
              <w:rPr>
                <w:sz w:val="20"/>
                <w:szCs w:val="20"/>
              </w:rPr>
              <w:t>FY ending October 31, 2021</w:t>
            </w:r>
          </w:p>
        </w:tc>
      </w:tr>
      <w:tr w:rsidR="001C5772" w:rsidRPr="00BE736B" w14:paraId="4AE1DC57" w14:textId="77777777" w:rsidTr="00BE736B">
        <w:trPr>
          <w:jc w:val="center"/>
        </w:trPr>
        <w:tc>
          <w:tcPr>
            <w:tcW w:w="3780" w:type="dxa"/>
            <w:tcMar>
              <w:top w:w="0" w:type="dxa"/>
              <w:left w:w="108" w:type="dxa"/>
              <w:bottom w:w="0" w:type="dxa"/>
              <w:right w:w="108" w:type="dxa"/>
            </w:tcMar>
            <w:hideMark/>
          </w:tcPr>
          <w:p w14:paraId="3FF6D468" w14:textId="77777777" w:rsidR="001C5772" w:rsidRPr="00BE736B" w:rsidRDefault="001C5772" w:rsidP="00BE736B">
            <w:pPr>
              <w:pStyle w:val="xmsonormal"/>
              <w:rPr>
                <w:sz w:val="20"/>
                <w:szCs w:val="20"/>
              </w:rPr>
            </w:pPr>
            <w:r w:rsidRPr="00BE736B">
              <w:rPr>
                <w:sz w:val="20"/>
                <w:szCs w:val="20"/>
              </w:rPr>
              <w:t>FY ending November 30, 2020</w:t>
            </w:r>
          </w:p>
        </w:tc>
        <w:tc>
          <w:tcPr>
            <w:tcW w:w="3505" w:type="dxa"/>
            <w:tcMar>
              <w:top w:w="0" w:type="dxa"/>
              <w:left w:w="108" w:type="dxa"/>
              <w:bottom w:w="0" w:type="dxa"/>
              <w:right w:w="108" w:type="dxa"/>
            </w:tcMar>
            <w:hideMark/>
          </w:tcPr>
          <w:p w14:paraId="7B3F6A67" w14:textId="77777777" w:rsidR="001C5772" w:rsidRPr="00BE736B" w:rsidRDefault="001C5772" w:rsidP="00BE736B">
            <w:pPr>
              <w:pStyle w:val="xmsonormal"/>
              <w:rPr>
                <w:sz w:val="20"/>
                <w:szCs w:val="20"/>
              </w:rPr>
            </w:pPr>
            <w:r w:rsidRPr="00BE736B">
              <w:rPr>
                <w:sz w:val="20"/>
                <w:szCs w:val="20"/>
              </w:rPr>
              <w:t>FY ending November 30, 2021</w:t>
            </w:r>
          </w:p>
        </w:tc>
      </w:tr>
      <w:tr w:rsidR="001C5772" w:rsidRPr="00BE736B" w14:paraId="31059C03" w14:textId="77777777" w:rsidTr="00BE736B">
        <w:trPr>
          <w:jc w:val="center"/>
        </w:trPr>
        <w:tc>
          <w:tcPr>
            <w:tcW w:w="3780" w:type="dxa"/>
            <w:tcMar>
              <w:top w:w="0" w:type="dxa"/>
              <w:left w:w="108" w:type="dxa"/>
              <w:bottom w:w="0" w:type="dxa"/>
              <w:right w:w="108" w:type="dxa"/>
            </w:tcMar>
            <w:hideMark/>
          </w:tcPr>
          <w:p w14:paraId="55CED73C" w14:textId="77777777" w:rsidR="001C5772" w:rsidRPr="00BE736B" w:rsidRDefault="001C5772" w:rsidP="00BE736B">
            <w:pPr>
              <w:pStyle w:val="xmsonormal"/>
              <w:rPr>
                <w:sz w:val="20"/>
                <w:szCs w:val="20"/>
              </w:rPr>
            </w:pPr>
            <w:r w:rsidRPr="00BE736B">
              <w:rPr>
                <w:sz w:val="20"/>
                <w:szCs w:val="20"/>
              </w:rPr>
              <w:t>FY ending January 31, 2021</w:t>
            </w:r>
          </w:p>
        </w:tc>
        <w:tc>
          <w:tcPr>
            <w:tcW w:w="3505" w:type="dxa"/>
            <w:tcMar>
              <w:top w:w="0" w:type="dxa"/>
              <w:left w:w="108" w:type="dxa"/>
              <w:bottom w:w="0" w:type="dxa"/>
              <w:right w:w="108" w:type="dxa"/>
            </w:tcMar>
            <w:hideMark/>
          </w:tcPr>
          <w:p w14:paraId="7B240CA2" w14:textId="77777777" w:rsidR="001C5772" w:rsidRPr="00BE736B" w:rsidRDefault="001C5772" w:rsidP="00BE736B">
            <w:pPr>
              <w:pStyle w:val="xmsonormal"/>
              <w:rPr>
                <w:sz w:val="20"/>
                <w:szCs w:val="20"/>
              </w:rPr>
            </w:pPr>
            <w:r w:rsidRPr="00BE736B">
              <w:rPr>
                <w:sz w:val="20"/>
                <w:szCs w:val="20"/>
              </w:rPr>
              <w:t>FY ending January 31, 2022</w:t>
            </w:r>
          </w:p>
        </w:tc>
      </w:tr>
      <w:tr w:rsidR="001C5772" w:rsidRPr="00BE736B" w14:paraId="777751B3" w14:textId="77777777" w:rsidTr="00BE736B">
        <w:trPr>
          <w:jc w:val="center"/>
        </w:trPr>
        <w:tc>
          <w:tcPr>
            <w:tcW w:w="3780" w:type="dxa"/>
            <w:tcMar>
              <w:top w:w="0" w:type="dxa"/>
              <w:left w:w="108" w:type="dxa"/>
              <w:bottom w:w="0" w:type="dxa"/>
              <w:right w:w="108" w:type="dxa"/>
            </w:tcMar>
          </w:tcPr>
          <w:p w14:paraId="3F3EEDFD" w14:textId="77777777" w:rsidR="001C5772" w:rsidRPr="00BE736B" w:rsidRDefault="001C5772" w:rsidP="00BE736B">
            <w:pPr>
              <w:pStyle w:val="xmsonormal"/>
              <w:rPr>
                <w:sz w:val="20"/>
                <w:szCs w:val="20"/>
              </w:rPr>
            </w:pPr>
            <w:r w:rsidRPr="00BE736B">
              <w:rPr>
                <w:sz w:val="20"/>
                <w:szCs w:val="20"/>
              </w:rPr>
              <w:t>FY ending February 28, 2021</w:t>
            </w:r>
          </w:p>
        </w:tc>
        <w:tc>
          <w:tcPr>
            <w:tcW w:w="3505" w:type="dxa"/>
            <w:tcMar>
              <w:top w:w="0" w:type="dxa"/>
              <w:left w:w="108" w:type="dxa"/>
              <w:bottom w:w="0" w:type="dxa"/>
              <w:right w:w="108" w:type="dxa"/>
            </w:tcMar>
          </w:tcPr>
          <w:p w14:paraId="6C3CE703" w14:textId="77777777" w:rsidR="001C5772" w:rsidRPr="00BE736B" w:rsidRDefault="001C5772" w:rsidP="00BE736B">
            <w:pPr>
              <w:pStyle w:val="xmsonormal"/>
              <w:rPr>
                <w:sz w:val="20"/>
                <w:szCs w:val="20"/>
              </w:rPr>
            </w:pPr>
            <w:r w:rsidRPr="00BE736B">
              <w:rPr>
                <w:sz w:val="20"/>
                <w:szCs w:val="20"/>
              </w:rPr>
              <w:t>FY ending February 28, 2022</w:t>
            </w:r>
          </w:p>
        </w:tc>
      </w:tr>
      <w:tr w:rsidR="001C5772" w:rsidRPr="00BE736B" w14:paraId="6D3252C2" w14:textId="77777777" w:rsidTr="00BE736B">
        <w:trPr>
          <w:jc w:val="center"/>
        </w:trPr>
        <w:tc>
          <w:tcPr>
            <w:tcW w:w="3780" w:type="dxa"/>
            <w:tcMar>
              <w:top w:w="0" w:type="dxa"/>
              <w:left w:w="108" w:type="dxa"/>
              <w:bottom w:w="0" w:type="dxa"/>
              <w:right w:w="108" w:type="dxa"/>
            </w:tcMar>
          </w:tcPr>
          <w:p w14:paraId="37864AB8" w14:textId="77777777" w:rsidR="001C5772" w:rsidRPr="00BE736B" w:rsidRDefault="001C5772" w:rsidP="00BE736B">
            <w:pPr>
              <w:pStyle w:val="xmsonormal"/>
              <w:rPr>
                <w:sz w:val="20"/>
                <w:szCs w:val="20"/>
              </w:rPr>
            </w:pPr>
            <w:r w:rsidRPr="00BE736B">
              <w:rPr>
                <w:sz w:val="20"/>
                <w:szCs w:val="20"/>
              </w:rPr>
              <w:t>FY ending March 31, 2021</w:t>
            </w:r>
          </w:p>
        </w:tc>
        <w:tc>
          <w:tcPr>
            <w:tcW w:w="3505" w:type="dxa"/>
            <w:tcMar>
              <w:top w:w="0" w:type="dxa"/>
              <w:left w:w="108" w:type="dxa"/>
              <w:bottom w:w="0" w:type="dxa"/>
              <w:right w:w="108" w:type="dxa"/>
            </w:tcMar>
          </w:tcPr>
          <w:p w14:paraId="35ED5713" w14:textId="77777777" w:rsidR="001C5772" w:rsidRPr="00BE736B" w:rsidRDefault="001C5772" w:rsidP="00BE736B">
            <w:pPr>
              <w:pStyle w:val="xmsonormal"/>
              <w:rPr>
                <w:sz w:val="20"/>
                <w:szCs w:val="20"/>
              </w:rPr>
            </w:pPr>
            <w:r w:rsidRPr="00BE736B">
              <w:rPr>
                <w:sz w:val="20"/>
                <w:szCs w:val="20"/>
              </w:rPr>
              <w:t>FY ending March 31, 2022</w:t>
            </w:r>
          </w:p>
        </w:tc>
      </w:tr>
      <w:tr w:rsidR="001C5772" w:rsidRPr="00BE736B" w14:paraId="1D7B0DC5" w14:textId="77777777" w:rsidTr="00BE736B">
        <w:trPr>
          <w:jc w:val="center"/>
        </w:trPr>
        <w:tc>
          <w:tcPr>
            <w:tcW w:w="3780" w:type="dxa"/>
            <w:tcMar>
              <w:top w:w="0" w:type="dxa"/>
              <w:left w:w="108" w:type="dxa"/>
              <w:bottom w:w="0" w:type="dxa"/>
              <w:right w:w="108" w:type="dxa"/>
            </w:tcMar>
          </w:tcPr>
          <w:p w14:paraId="3E9DDB08" w14:textId="77777777" w:rsidR="001C5772" w:rsidRPr="00BE736B" w:rsidRDefault="001C5772" w:rsidP="00BE736B">
            <w:pPr>
              <w:pStyle w:val="xmsonormal"/>
              <w:rPr>
                <w:sz w:val="20"/>
                <w:szCs w:val="20"/>
              </w:rPr>
            </w:pPr>
            <w:r w:rsidRPr="00BE736B">
              <w:rPr>
                <w:sz w:val="20"/>
                <w:szCs w:val="20"/>
              </w:rPr>
              <w:t>FY ending April 30, 2021</w:t>
            </w:r>
          </w:p>
        </w:tc>
        <w:tc>
          <w:tcPr>
            <w:tcW w:w="3505" w:type="dxa"/>
            <w:tcMar>
              <w:top w:w="0" w:type="dxa"/>
              <w:left w:w="108" w:type="dxa"/>
              <w:bottom w:w="0" w:type="dxa"/>
              <w:right w:w="108" w:type="dxa"/>
            </w:tcMar>
          </w:tcPr>
          <w:p w14:paraId="48E893CD" w14:textId="77777777" w:rsidR="001C5772" w:rsidRPr="00BE736B" w:rsidRDefault="001C5772" w:rsidP="00BE736B">
            <w:pPr>
              <w:pStyle w:val="xmsonormal"/>
              <w:rPr>
                <w:sz w:val="20"/>
                <w:szCs w:val="20"/>
              </w:rPr>
            </w:pPr>
            <w:r w:rsidRPr="00BE736B">
              <w:rPr>
                <w:sz w:val="20"/>
                <w:szCs w:val="20"/>
              </w:rPr>
              <w:t>FY ending April 30, 2022</w:t>
            </w:r>
          </w:p>
        </w:tc>
      </w:tr>
      <w:tr w:rsidR="001C5772" w:rsidRPr="00BE736B" w14:paraId="3DAC2185" w14:textId="77777777" w:rsidTr="00BE736B">
        <w:trPr>
          <w:jc w:val="center"/>
        </w:trPr>
        <w:tc>
          <w:tcPr>
            <w:tcW w:w="3780" w:type="dxa"/>
            <w:tcMar>
              <w:top w:w="0" w:type="dxa"/>
              <w:left w:w="108" w:type="dxa"/>
              <w:bottom w:w="0" w:type="dxa"/>
              <w:right w:w="108" w:type="dxa"/>
            </w:tcMar>
          </w:tcPr>
          <w:p w14:paraId="14CC006E" w14:textId="77777777" w:rsidR="001C5772" w:rsidRPr="00BE736B" w:rsidRDefault="001C5772" w:rsidP="00BE736B">
            <w:pPr>
              <w:pStyle w:val="xmsonormal"/>
              <w:rPr>
                <w:sz w:val="20"/>
                <w:szCs w:val="20"/>
              </w:rPr>
            </w:pPr>
            <w:r w:rsidRPr="00BE736B">
              <w:rPr>
                <w:sz w:val="20"/>
                <w:szCs w:val="20"/>
              </w:rPr>
              <w:t>FY ending May 31, 2021</w:t>
            </w:r>
          </w:p>
        </w:tc>
        <w:tc>
          <w:tcPr>
            <w:tcW w:w="3505" w:type="dxa"/>
            <w:tcMar>
              <w:top w:w="0" w:type="dxa"/>
              <w:left w:w="108" w:type="dxa"/>
              <w:bottom w:w="0" w:type="dxa"/>
              <w:right w:w="108" w:type="dxa"/>
            </w:tcMar>
          </w:tcPr>
          <w:p w14:paraId="713948D6" w14:textId="77777777" w:rsidR="001C5772" w:rsidRPr="00BE736B" w:rsidRDefault="001C5772" w:rsidP="00BE736B">
            <w:pPr>
              <w:pStyle w:val="xmsonormal"/>
              <w:rPr>
                <w:sz w:val="20"/>
                <w:szCs w:val="20"/>
              </w:rPr>
            </w:pPr>
            <w:r w:rsidRPr="00BE736B">
              <w:rPr>
                <w:sz w:val="20"/>
                <w:szCs w:val="20"/>
              </w:rPr>
              <w:t>FY ending May 31, 2022</w:t>
            </w:r>
          </w:p>
        </w:tc>
      </w:tr>
      <w:tr w:rsidR="001C5772" w:rsidRPr="00BE736B" w14:paraId="6D5DB51D" w14:textId="77777777" w:rsidTr="00BE736B">
        <w:trPr>
          <w:jc w:val="center"/>
        </w:trPr>
        <w:tc>
          <w:tcPr>
            <w:tcW w:w="3780" w:type="dxa"/>
            <w:tcMar>
              <w:top w:w="0" w:type="dxa"/>
              <w:left w:w="108" w:type="dxa"/>
              <w:bottom w:w="0" w:type="dxa"/>
              <w:right w:w="108" w:type="dxa"/>
            </w:tcMar>
          </w:tcPr>
          <w:p w14:paraId="0F8EB4D3" w14:textId="77777777" w:rsidR="001C5772" w:rsidRPr="00BE736B" w:rsidRDefault="001C5772" w:rsidP="00BE736B">
            <w:pPr>
              <w:pStyle w:val="xmsonormal"/>
              <w:rPr>
                <w:sz w:val="20"/>
                <w:szCs w:val="20"/>
              </w:rPr>
            </w:pPr>
            <w:r w:rsidRPr="00BE736B">
              <w:rPr>
                <w:sz w:val="20"/>
                <w:szCs w:val="20"/>
              </w:rPr>
              <w:t>FY ending June 30, 2021</w:t>
            </w:r>
          </w:p>
        </w:tc>
        <w:tc>
          <w:tcPr>
            <w:tcW w:w="3505" w:type="dxa"/>
            <w:tcMar>
              <w:top w:w="0" w:type="dxa"/>
              <w:left w:w="108" w:type="dxa"/>
              <w:bottom w:w="0" w:type="dxa"/>
              <w:right w:w="108" w:type="dxa"/>
            </w:tcMar>
          </w:tcPr>
          <w:p w14:paraId="70BBBD65" w14:textId="77777777" w:rsidR="001C5772" w:rsidRPr="00BE736B" w:rsidRDefault="001C5772" w:rsidP="00BE736B">
            <w:pPr>
              <w:pStyle w:val="xmsonormal"/>
              <w:rPr>
                <w:sz w:val="20"/>
                <w:szCs w:val="20"/>
              </w:rPr>
            </w:pPr>
            <w:r w:rsidRPr="00BE736B">
              <w:rPr>
                <w:sz w:val="20"/>
                <w:szCs w:val="20"/>
              </w:rPr>
              <w:t>FY ending June 30, 2022</w:t>
            </w:r>
          </w:p>
        </w:tc>
      </w:tr>
    </w:tbl>
    <w:p w14:paraId="3EFA0941" w14:textId="77777777" w:rsidR="001C5772" w:rsidRPr="00BE736B" w:rsidRDefault="001C5772" w:rsidP="001C5772">
      <w:pPr>
        <w:pStyle w:val="xmsonormal"/>
        <w:rPr>
          <w:sz w:val="20"/>
          <w:szCs w:val="20"/>
        </w:rPr>
      </w:pPr>
      <w:r w:rsidRPr="00BE736B">
        <w:rPr>
          <w:color w:val="000000"/>
          <w:sz w:val="20"/>
          <w:szCs w:val="20"/>
        </w:rPr>
        <w:t> </w:t>
      </w:r>
    </w:p>
    <w:p w14:paraId="1941D5DC" w14:textId="77777777" w:rsidR="001C5772" w:rsidRPr="00BC3DD6" w:rsidRDefault="001C5772" w:rsidP="001C5772">
      <w:pPr>
        <w:pStyle w:val="ListParagraph"/>
        <w:numPr>
          <w:ilvl w:val="0"/>
          <w:numId w:val="7"/>
        </w:numPr>
        <w:ind w:right="720"/>
        <w:rPr>
          <w:sz w:val="20"/>
          <w:szCs w:val="20"/>
        </w:rPr>
      </w:pPr>
      <w:r w:rsidRPr="00BE736B">
        <w:rPr>
          <w:rFonts w:ascii="Calibri" w:hAnsi="Calibri" w:cs="Calibri"/>
          <w:sz w:val="20"/>
          <w:szCs w:val="20"/>
        </w:rPr>
        <w:t>The circular emphasizes that companies with fiscal years ending before July 31, 2020 and fiscal years ending after June 30, 2022 which incurred net operating loss are only allowed to carry over the loss as a deduction from its gross income for the next three (3) consecutive taxable years under Section 34 (D)(3) of the Tax Code, as amended.</w:t>
      </w:r>
    </w:p>
    <w:p w14:paraId="0DB62B32" w14:textId="77777777" w:rsidR="001C5772" w:rsidRDefault="001C5772" w:rsidP="001C5772">
      <w:pPr>
        <w:pStyle w:val="xmsonormal"/>
        <w:rPr>
          <w:sz w:val="20"/>
          <w:szCs w:val="20"/>
        </w:rPr>
      </w:pPr>
    </w:p>
    <w:p w14:paraId="20A3E193" w14:textId="77777777" w:rsidR="001C5772" w:rsidRDefault="001C5772" w:rsidP="001C5772">
      <w:pPr>
        <w:pStyle w:val="xmsonormal"/>
        <w:rPr>
          <w:sz w:val="20"/>
          <w:szCs w:val="20"/>
        </w:rPr>
      </w:pPr>
    </w:p>
    <w:p w14:paraId="4A119806" w14:textId="77777777" w:rsidR="001C5772" w:rsidRDefault="001C5772" w:rsidP="001C5772">
      <w:pPr>
        <w:pStyle w:val="xmsonormal"/>
        <w:rPr>
          <w:sz w:val="20"/>
          <w:szCs w:val="20"/>
        </w:rPr>
      </w:pPr>
    </w:p>
    <w:p w14:paraId="2001ECEE" w14:textId="77777777" w:rsidR="001C5772" w:rsidRDefault="001C5772" w:rsidP="001C5772">
      <w:pPr>
        <w:pStyle w:val="xmsonormal"/>
        <w:rPr>
          <w:sz w:val="20"/>
          <w:szCs w:val="20"/>
        </w:rPr>
      </w:pPr>
    </w:p>
    <w:p w14:paraId="04EB3CA2" w14:textId="77777777" w:rsidR="001C5772" w:rsidRPr="00BE736B" w:rsidRDefault="001C5772" w:rsidP="001C5772">
      <w:pPr>
        <w:pStyle w:val="xmsonormal"/>
        <w:rPr>
          <w:sz w:val="20"/>
          <w:szCs w:val="20"/>
        </w:rPr>
      </w:pPr>
    </w:p>
    <w:p w14:paraId="4F81C1FB" w14:textId="77777777" w:rsidR="001C5772" w:rsidRPr="00BE736B" w:rsidRDefault="001C5772" w:rsidP="001C5772">
      <w:pPr>
        <w:tabs>
          <w:tab w:val="left" w:pos="8820"/>
        </w:tabs>
        <w:rPr>
          <w:rFonts w:ascii="Calibri" w:eastAsia="Calibri" w:hAnsi="Calibri" w:cs="Calibri"/>
          <w:b/>
          <w:sz w:val="20"/>
          <w:szCs w:val="20"/>
        </w:rPr>
      </w:pPr>
      <w:r w:rsidRPr="00BE736B">
        <w:rPr>
          <w:rFonts w:ascii="Calibri" w:eastAsia="Calibri" w:hAnsi="Calibri" w:cs="Calibri"/>
          <w:b/>
          <w:sz w:val="20"/>
          <w:szCs w:val="20"/>
        </w:rPr>
        <w:t xml:space="preserve">RMC No. 139-2020 issued on </w:t>
      </w:r>
      <w:r w:rsidRPr="00BE736B">
        <w:rPr>
          <w:rFonts w:ascii="Calibri" w:hAnsi="Calibri" w:cs="Calibri"/>
          <w:b/>
          <w:bCs/>
          <w:sz w:val="20"/>
          <w:szCs w:val="20"/>
        </w:rPr>
        <w:t>December 23, 2020</w:t>
      </w:r>
    </w:p>
    <w:p w14:paraId="3FFB9DB0" w14:textId="77777777" w:rsidR="001C5772" w:rsidRPr="00BE736B" w:rsidRDefault="001C5772" w:rsidP="001C5772">
      <w:pPr>
        <w:tabs>
          <w:tab w:val="left" w:pos="8820"/>
        </w:tabs>
        <w:rPr>
          <w:rFonts w:ascii="Calibri" w:eastAsia="Calibri" w:hAnsi="Calibri" w:cs="Calibri"/>
          <w:i/>
          <w:sz w:val="20"/>
          <w:szCs w:val="20"/>
        </w:rPr>
      </w:pPr>
      <w:r w:rsidRPr="00BE736B">
        <w:rPr>
          <w:rFonts w:ascii="Calibri" w:eastAsia="Calibri" w:hAnsi="Calibri" w:cs="Calibri"/>
          <w:i/>
          <w:sz w:val="20"/>
          <w:szCs w:val="20"/>
        </w:rPr>
        <w:t>RMC No. 139-2020 prescribes the guidelines on the utilization of the 5% tax credit prescribed under the incentive provisions of Republic Act No. 9505 otherwise known as the Personal Equity and Retirement Account (PERA) Act of 2008</w:t>
      </w:r>
    </w:p>
    <w:tbl>
      <w:tblPr>
        <w:tblStyle w:val="TableGrid"/>
        <w:tblW w:w="0" w:type="auto"/>
        <w:tblLook w:val="04A0" w:firstRow="1" w:lastRow="0" w:firstColumn="1" w:lastColumn="0" w:noHBand="0" w:noVBand="1"/>
      </w:tblPr>
      <w:tblGrid>
        <w:gridCol w:w="2695"/>
        <w:gridCol w:w="6655"/>
      </w:tblGrid>
      <w:tr w:rsidR="001C5772" w:rsidRPr="00BE736B" w14:paraId="142239E1" w14:textId="77777777" w:rsidTr="00BE736B">
        <w:tc>
          <w:tcPr>
            <w:tcW w:w="2695" w:type="dxa"/>
            <w:vAlign w:val="center"/>
          </w:tcPr>
          <w:p w14:paraId="32DD4B2B" w14:textId="77777777" w:rsidR="001C5772" w:rsidRPr="00BE736B" w:rsidRDefault="001C5772" w:rsidP="00BE736B">
            <w:pPr>
              <w:tabs>
                <w:tab w:val="left" w:pos="8820"/>
              </w:tabs>
              <w:rPr>
                <w:rFonts w:ascii="Calibri" w:eastAsia="Calibri" w:hAnsi="Calibri" w:cs="Calibri"/>
                <w:i/>
                <w:sz w:val="20"/>
                <w:szCs w:val="20"/>
              </w:rPr>
            </w:pPr>
            <w:r w:rsidRPr="00BE736B">
              <w:rPr>
                <w:rFonts w:ascii="Calibri" w:hAnsi="Calibri" w:cs="Calibri"/>
                <w:b/>
                <w:bCs/>
                <w:sz w:val="20"/>
                <w:szCs w:val="20"/>
              </w:rPr>
              <w:t>Issues</w:t>
            </w:r>
          </w:p>
        </w:tc>
        <w:tc>
          <w:tcPr>
            <w:tcW w:w="6655" w:type="dxa"/>
            <w:vAlign w:val="center"/>
          </w:tcPr>
          <w:p w14:paraId="6E998F7A" w14:textId="77777777" w:rsidR="001C5772" w:rsidRPr="00BE736B" w:rsidRDefault="001C5772" w:rsidP="00BE736B">
            <w:pPr>
              <w:tabs>
                <w:tab w:val="left" w:pos="8820"/>
              </w:tabs>
              <w:rPr>
                <w:rFonts w:ascii="Calibri" w:eastAsia="Calibri" w:hAnsi="Calibri" w:cs="Calibri"/>
                <w:i/>
                <w:sz w:val="20"/>
                <w:szCs w:val="20"/>
              </w:rPr>
            </w:pPr>
            <w:r w:rsidRPr="00BE736B">
              <w:rPr>
                <w:rFonts w:ascii="Calibri" w:hAnsi="Calibri" w:cs="Calibri"/>
                <w:b/>
                <w:bCs/>
                <w:color w:val="000000"/>
                <w:sz w:val="20"/>
                <w:szCs w:val="20"/>
              </w:rPr>
              <w:t>Guidelines/Procedures</w:t>
            </w:r>
          </w:p>
        </w:tc>
      </w:tr>
      <w:tr w:rsidR="001C5772" w:rsidRPr="00BE736B" w14:paraId="0B73ACE6" w14:textId="77777777" w:rsidTr="00BE736B">
        <w:tc>
          <w:tcPr>
            <w:tcW w:w="2695" w:type="dxa"/>
          </w:tcPr>
          <w:p w14:paraId="00131847" w14:textId="77777777" w:rsidR="001C5772" w:rsidRPr="00BE736B" w:rsidRDefault="001C5772" w:rsidP="00BE736B">
            <w:pPr>
              <w:tabs>
                <w:tab w:val="left" w:pos="8820"/>
              </w:tabs>
              <w:ind w:left="432" w:hanging="450"/>
              <w:rPr>
                <w:rFonts w:ascii="Calibri" w:eastAsia="Calibri" w:hAnsi="Calibri" w:cs="Calibri"/>
                <w:i/>
                <w:sz w:val="20"/>
                <w:szCs w:val="20"/>
              </w:rPr>
            </w:pPr>
            <w:r w:rsidRPr="00BE736B">
              <w:rPr>
                <w:rFonts w:ascii="Calibri" w:hAnsi="Calibri" w:cs="Calibri"/>
                <w:sz w:val="20"/>
                <w:szCs w:val="20"/>
              </w:rPr>
              <w:t>Q1.  What document will evidence the 5% tax credit?</w:t>
            </w:r>
          </w:p>
        </w:tc>
        <w:tc>
          <w:tcPr>
            <w:tcW w:w="6655" w:type="dxa"/>
          </w:tcPr>
          <w:p w14:paraId="7796FD5C" w14:textId="77777777" w:rsidR="001C5772" w:rsidRPr="00BE736B" w:rsidRDefault="001C5772" w:rsidP="00BE736B">
            <w:pPr>
              <w:pStyle w:val="xmsolistparagraph"/>
              <w:ind w:left="520" w:hanging="538"/>
              <w:rPr>
                <w:sz w:val="20"/>
                <w:szCs w:val="20"/>
              </w:rPr>
            </w:pPr>
            <w:r w:rsidRPr="00BE736B">
              <w:rPr>
                <w:sz w:val="20"/>
                <w:szCs w:val="20"/>
              </w:rPr>
              <w:t>A1.   The name of the document is the PERA Tax Credit Certificate (PERA TCC) containing security features to ensure authenticity.</w:t>
            </w:r>
          </w:p>
          <w:p w14:paraId="76829AA5" w14:textId="77777777" w:rsidR="001C5772" w:rsidRPr="00BE736B" w:rsidRDefault="001C5772" w:rsidP="00BE736B">
            <w:pPr>
              <w:tabs>
                <w:tab w:val="left" w:pos="8820"/>
              </w:tabs>
              <w:rPr>
                <w:rFonts w:ascii="Calibri" w:eastAsia="Calibri" w:hAnsi="Calibri" w:cs="Calibri"/>
                <w:i/>
                <w:sz w:val="20"/>
                <w:szCs w:val="20"/>
              </w:rPr>
            </w:pPr>
          </w:p>
        </w:tc>
      </w:tr>
      <w:tr w:rsidR="001C5772" w:rsidRPr="00BE736B" w14:paraId="58BB75CC" w14:textId="77777777" w:rsidTr="00BE736B">
        <w:tc>
          <w:tcPr>
            <w:tcW w:w="2695" w:type="dxa"/>
          </w:tcPr>
          <w:p w14:paraId="6FBC97E4" w14:textId="77777777" w:rsidR="001C5772" w:rsidRPr="00BE736B" w:rsidRDefault="001C5772" w:rsidP="00BE736B">
            <w:pPr>
              <w:tabs>
                <w:tab w:val="left" w:pos="8820"/>
              </w:tabs>
              <w:ind w:left="432" w:hanging="450"/>
              <w:rPr>
                <w:rFonts w:ascii="Calibri" w:eastAsia="Calibri" w:hAnsi="Calibri" w:cs="Calibri"/>
                <w:i/>
                <w:sz w:val="20"/>
                <w:szCs w:val="20"/>
              </w:rPr>
            </w:pPr>
            <w:r w:rsidRPr="00BE736B">
              <w:rPr>
                <w:rFonts w:ascii="Calibri" w:hAnsi="Calibri" w:cs="Calibri"/>
                <w:sz w:val="20"/>
                <w:szCs w:val="20"/>
              </w:rPr>
              <w:t>Q2.  Who shall request for the issuance of PERA TCC and to whom it shall be applied?</w:t>
            </w:r>
          </w:p>
        </w:tc>
        <w:tc>
          <w:tcPr>
            <w:tcW w:w="6655" w:type="dxa"/>
          </w:tcPr>
          <w:p w14:paraId="311C09B4" w14:textId="77777777" w:rsidR="001C5772" w:rsidRPr="00BE736B" w:rsidRDefault="001C5772" w:rsidP="00BE736B">
            <w:pPr>
              <w:pStyle w:val="xmsolistparagraph"/>
              <w:ind w:left="520" w:hanging="538"/>
              <w:rPr>
                <w:sz w:val="20"/>
                <w:szCs w:val="20"/>
              </w:rPr>
            </w:pPr>
            <w:r w:rsidRPr="00BE736B">
              <w:rPr>
                <w:sz w:val="20"/>
                <w:szCs w:val="20"/>
              </w:rPr>
              <w:t>A2.   Qualified contributors shall directly request for the issuance of PERA TCC from the PERA Administrator to whom they have placed their contributions. In cases of employers who contribute a share to the account of their qualified employee, only the qualified employee can request for the issuance of PERA TCC. The PERA Administrator shall release the PERA TCC to the qualified contributors or their authorized representatives.</w:t>
            </w:r>
          </w:p>
          <w:p w14:paraId="1BAD0C3E" w14:textId="77777777" w:rsidR="001C5772" w:rsidRPr="00BE736B" w:rsidRDefault="001C5772" w:rsidP="00BE736B">
            <w:pPr>
              <w:tabs>
                <w:tab w:val="left" w:pos="8820"/>
              </w:tabs>
              <w:rPr>
                <w:rFonts w:ascii="Calibri" w:eastAsia="Calibri" w:hAnsi="Calibri" w:cs="Calibri"/>
                <w:i/>
                <w:sz w:val="20"/>
                <w:szCs w:val="20"/>
              </w:rPr>
            </w:pPr>
            <w:r w:rsidRPr="00BE736B">
              <w:rPr>
                <w:rFonts w:ascii="Calibri" w:hAnsi="Calibri" w:cs="Calibri"/>
                <w:sz w:val="20"/>
                <w:szCs w:val="20"/>
              </w:rPr>
              <w:t> </w:t>
            </w:r>
          </w:p>
        </w:tc>
      </w:tr>
      <w:tr w:rsidR="001C5772" w:rsidRPr="00BE736B" w14:paraId="2DB66E0F" w14:textId="77777777" w:rsidTr="00BE736B">
        <w:tc>
          <w:tcPr>
            <w:tcW w:w="2695" w:type="dxa"/>
          </w:tcPr>
          <w:p w14:paraId="2AA2F3B2" w14:textId="77777777" w:rsidR="001C5772" w:rsidRPr="00BE736B" w:rsidRDefault="001C5772" w:rsidP="00BE736B">
            <w:pPr>
              <w:tabs>
                <w:tab w:val="left" w:pos="8820"/>
              </w:tabs>
              <w:ind w:left="432" w:hanging="450"/>
              <w:rPr>
                <w:rFonts w:ascii="Calibri" w:eastAsia="Calibri" w:hAnsi="Calibri" w:cs="Calibri"/>
                <w:i/>
                <w:sz w:val="20"/>
                <w:szCs w:val="20"/>
              </w:rPr>
            </w:pPr>
            <w:r w:rsidRPr="00BE736B">
              <w:rPr>
                <w:rFonts w:ascii="Calibri" w:hAnsi="Calibri" w:cs="Calibri"/>
                <w:sz w:val="20"/>
                <w:szCs w:val="20"/>
              </w:rPr>
              <w:t>Q3.   What internal revenue taxes shall be paid by the qualified contributor using the PERA TCC? What BIR Forms shall be accomplished by a qualified contributor in filing the tax returns and payment of the applicable taxes?</w:t>
            </w:r>
          </w:p>
        </w:tc>
        <w:tc>
          <w:tcPr>
            <w:tcW w:w="6655" w:type="dxa"/>
          </w:tcPr>
          <w:p w14:paraId="486BAC4F" w14:textId="77777777" w:rsidR="001C5772" w:rsidRPr="00BE736B" w:rsidRDefault="001C5772" w:rsidP="00BE736B">
            <w:pPr>
              <w:pStyle w:val="xmsolistparagraph"/>
              <w:ind w:left="520" w:hanging="538"/>
              <w:rPr>
                <w:b/>
                <w:bCs/>
                <w:sz w:val="20"/>
                <w:szCs w:val="20"/>
              </w:rPr>
            </w:pPr>
            <w:r w:rsidRPr="00BE736B">
              <w:rPr>
                <w:sz w:val="20"/>
                <w:szCs w:val="20"/>
              </w:rPr>
              <w:t xml:space="preserve">A3.   The PERA TCC shall be applied against the internal revenue taxes and the BIR Forms to be accomplished shall depend on the source of income of the qualified contributor from which the savings or contributions to his or her account where derived from. </w:t>
            </w:r>
          </w:p>
          <w:p w14:paraId="65BE38D3" w14:textId="77777777" w:rsidR="001C5772" w:rsidRPr="00BE736B" w:rsidRDefault="001C5772" w:rsidP="00BE736B">
            <w:pPr>
              <w:pStyle w:val="xmsolistparagraph"/>
              <w:ind w:left="520"/>
              <w:rPr>
                <w:i/>
                <w:iCs/>
                <w:sz w:val="20"/>
                <w:szCs w:val="20"/>
              </w:rPr>
            </w:pPr>
          </w:p>
          <w:p w14:paraId="4D96E698" w14:textId="77777777" w:rsidR="001C5772" w:rsidRPr="00BE736B" w:rsidRDefault="001C5772" w:rsidP="00BE736B">
            <w:pPr>
              <w:pStyle w:val="xmsolistparagraph"/>
              <w:ind w:left="520"/>
              <w:rPr>
                <w:b/>
                <w:bCs/>
                <w:sz w:val="20"/>
                <w:szCs w:val="20"/>
              </w:rPr>
            </w:pPr>
            <w:r w:rsidRPr="00BE736B">
              <w:rPr>
                <w:i/>
                <w:iCs/>
                <w:sz w:val="20"/>
                <w:szCs w:val="20"/>
              </w:rPr>
              <w:t xml:space="preserve">(Kindly refer to the list of applicable BIR forms identified according to the source of income of the qualified contributor </w:t>
            </w:r>
            <w:r w:rsidRPr="00BE736B">
              <w:rPr>
                <w:sz w:val="20"/>
                <w:szCs w:val="20"/>
              </w:rPr>
              <w:t>as enumerated in the RMC.</w:t>
            </w:r>
            <w:r w:rsidRPr="00BE736B">
              <w:rPr>
                <w:i/>
                <w:iCs/>
                <w:sz w:val="20"/>
                <w:szCs w:val="20"/>
              </w:rPr>
              <w:t>)</w:t>
            </w:r>
          </w:p>
          <w:p w14:paraId="31193D4C" w14:textId="77777777" w:rsidR="001C5772" w:rsidRPr="00BE736B" w:rsidRDefault="001C5772" w:rsidP="00BE736B">
            <w:pPr>
              <w:pStyle w:val="xmsolistparagraph"/>
              <w:ind w:left="520"/>
              <w:rPr>
                <w:sz w:val="20"/>
                <w:szCs w:val="20"/>
              </w:rPr>
            </w:pPr>
            <w:r w:rsidRPr="00BE736B">
              <w:rPr>
                <w:sz w:val="20"/>
                <w:szCs w:val="20"/>
              </w:rPr>
              <w:t> </w:t>
            </w:r>
          </w:p>
          <w:p w14:paraId="30514B8D" w14:textId="77777777" w:rsidR="001C5772" w:rsidRPr="00BE736B" w:rsidRDefault="001C5772" w:rsidP="00BE736B">
            <w:pPr>
              <w:pStyle w:val="xmsolistparagraph"/>
              <w:ind w:left="520"/>
              <w:rPr>
                <w:sz w:val="20"/>
                <w:szCs w:val="20"/>
              </w:rPr>
            </w:pPr>
            <w:r w:rsidRPr="00BE736B">
              <w:rPr>
                <w:sz w:val="20"/>
                <w:szCs w:val="20"/>
              </w:rPr>
              <w:t xml:space="preserve">In case of changes in the contributor's source of income during the taxable year, the PERA TCC shall contain such restrictions prescribing the </w:t>
            </w:r>
            <w:r w:rsidRPr="00BE736B">
              <w:rPr>
                <w:sz w:val="20"/>
                <w:szCs w:val="20"/>
              </w:rPr>
              <w:lastRenderedPageBreak/>
              <w:t>type of taxes upon which the said certificate shall be applied to, based on the contributor's status/classification as indicated in the annual report of the PERA Administrator. Accordingly, the applicable internal revenue taxes shall be paid and the corresponding BIR forms to be accomplished.</w:t>
            </w:r>
          </w:p>
          <w:p w14:paraId="39CC29E1" w14:textId="77777777" w:rsidR="001C5772" w:rsidRPr="00BE736B" w:rsidRDefault="001C5772" w:rsidP="00BE736B">
            <w:pPr>
              <w:pStyle w:val="xmsolistparagraph"/>
              <w:ind w:left="520"/>
              <w:rPr>
                <w:sz w:val="20"/>
                <w:szCs w:val="20"/>
              </w:rPr>
            </w:pPr>
            <w:r w:rsidRPr="00BE736B">
              <w:rPr>
                <w:sz w:val="20"/>
                <w:szCs w:val="20"/>
              </w:rPr>
              <w:t> </w:t>
            </w:r>
          </w:p>
          <w:p w14:paraId="686F656B" w14:textId="77777777" w:rsidR="001C5772" w:rsidRPr="00BE736B" w:rsidRDefault="001C5772" w:rsidP="00BE736B">
            <w:pPr>
              <w:pStyle w:val="xmsolistparagraph"/>
              <w:ind w:left="520"/>
              <w:rPr>
                <w:sz w:val="20"/>
                <w:szCs w:val="20"/>
              </w:rPr>
            </w:pPr>
            <w:r w:rsidRPr="00BE736B">
              <w:rPr>
                <w:i/>
                <w:iCs/>
                <w:sz w:val="20"/>
                <w:szCs w:val="20"/>
              </w:rPr>
              <w:t>(Kindly refer to the list of applicable BIR forms identified according to the status/classification of the qualified contributor.)</w:t>
            </w:r>
          </w:p>
          <w:p w14:paraId="14929B0E" w14:textId="77777777" w:rsidR="001C5772" w:rsidRPr="00BE736B" w:rsidRDefault="001C5772" w:rsidP="00BE736B">
            <w:pPr>
              <w:pStyle w:val="xmsolistparagraph"/>
              <w:ind w:left="520"/>
              <w:rPr>
                <w:sz w:val="20"/>
                <w:szCs w:val="20"/>
              </w:rPr>
            </w:pPr>
            <w:r w:rsidRPr="00BE736B">
              <w:rPr>
                <w:sz w:val="20"/>
                <w:szCs w:val="20"/>
              </w:rPr>
              <w:t> </w:t>
            </w:r>
          </w:p>
          <w:p w14:paraId="5753321D" w14:textId="77777777" w:rsidR="001C5772" w:rsidRPr="00BE736B" w:rsidRDefault="001C5772" w:rsidP="00BE736B">
            <w:pPr>
              <w:tabs>
                <w:tab w:val="left" w:pos="8820"/>
              </w:tabs>
              <w:rPr>
                <w:rFonts w:ascii="Calibri" w:eastAsia="Calibri" w:hAnsi="Calibri" w:cs="Calibri"/>
                <w:i/>
                <w:sz w:val="20"/>
                <w:szCs w:val="20"/>
              </w:rPr>
            </w:pPr>
          </w:p>
        </w:tc>
      </w:tr>
      <w:tr w:rsidR="001C5772" w:rsidRPr="00BE736B" w14:paraId="42B13213" w14:textId="77777777" w:rsidTr="00BE736B">
        <w:tc>
          <w:tcPr>
            <w:tcW w:w="2695" w:type="dxa"/>
          </w:tcPr>
          <w:p w14:paraId="4AA90207" w14:textId="77777777" w:rsidR="001C5772" w:rsidRPr="00BE736B" w:rsidRDefault="001C5772" w:rsidP="00BE736B">
            <w:pPr>
              <w:tabs>
                <w:tab w:val="left" w:pos="8820"/>
              </w:tabs>
              <w:ind w:left="432" w:hanging="450"/>
              <w:rPr>
                <w:rFonts w:ascii="Calibri" w:hAnsi="Calibri" w:cs="Calibri"/>
                <w:sz w:val="20"/>
                <w:szCs w:val="20"/>
              </w:rPr>
            </w:pPr>
            <w:r w:rsidRPr="00BE736B">
              <w:rPr>
                <w:rFonts w:ascii="Calibri" w:hAnsi="Calibri" w:cs="Calibri"/>
                <w:sz w:val="20"/>
                <w:szCs w:val="20"/>
              </w:rPr>
              <w:lastRenderedPageBreak/>
              <w:t>Q4.  How will the qualified contributor accomplish the tax return using the PERA TCC?</w:t>
            </w:r>
          </w:p>
        </w:tc>
        <w:tc>
          <w:tcPr>
            <w:tcW w:w="6655" w:type="dxa"/>
          </w:tcPr>
          <w:p w14:paraId="50BF9272" w14:textId="77777777" w:rsidR="001C5772" w:rsidRPr="00BE736B" w:rsidRDefault="001C5772" w:rsidP="00BE736B">
            <w:pPr>
              <w:pStyle w:val="xmsolistparagraph"/>
              <w:ind w:left="520" w:hanging="538"/>
              <w:rPr>
                <w:sz w:val="20"/>
                <w:szCs w:val="20"/>
              </w:rPr>
            </w:pPr>
            <w:r w:rsidRPr="00BE736B">
              <w:rPr>
                <w:sz w:val="20"/>
                <w:szCs w:val="20"/>
              </w:rPr>
              <w:t xml:space="preserve">A4.   The amount of the PERA TCC shall be indicated in the tax return as deduction from the tax due of the contributor. Specifically, there is a need to indicate the phrase "5% PERA TCC" and its corresponding amount in the boxes provided for in the line item of the tax return which states the phrase "Other Tax Credits/Payments (specify)" located immediately after the line item stating "Tax Due". </w:t>
            </w:r>
          </w:p>
          <w:p w14:paraId="6061F954" w14:textId="77777777" w:rsidR="001C5772" w:rsidRPr="00BE736B" w:rsidRDefault="001C5772" w:rsidP="00BE736B">
            <w:pPr>
              <w:pStyle w:val="xmsolistparagraph"/>
              <w:ind w:left="520"/>
              <w:rPr>
                <w:sz w:val="20"/>
                <w:szCs w:val="20"/>
              </w:rPr>
            </w:pPr>
            <w:r w:rsidRPr="00BE736B">
              <w:rPr>
                <w:sz w:val="20"/>
                <w:szCs w:val="20"/>
              </w:rPr>
              <w:t> </w:t>
            </w:r>
          </w:p>
          <w:p w14:paraId="29A6E428" w14:textId="77777777" w:rsidR="001C5772" w:rsidRPr="00BE736B" w:rsidRDefault="001C5772" w:rsidP="00BE736B">
            <w:pPr>
              <w:pStyle w:val="xmsolistparagraph"/>
              <w:ind w:left="520"/>
              <w:rPr>
                <w:sz w:val="20"/>
                <w:szCs w:val="20"/>
              </w:rPr>
            </w:pPr>
            <w:r w:rsidRPr="00BE736B">
              <w:rPr>
                <w:sz w:val="20"/>
                <w:szCs w:val="20"/>
              </w:rPr>
              <w:t>In case the amount of PERA TCC exceeds the tax due, net of the creditable taxes, the excess shall not be considered a refund but the same shall be eligible for the issuance of PERA TCC.</w:t>
            </w:r>
          </w:p>
          <w:p w14:paraId="028BA7CE" w14:textId="77777777" w:rsidR="001C5772" w:rsidRPr="00BE736B" w:rsidRDefault="001C5772" w:rsidP="00BE736B">
            <w:pPr>
              <w:tabs>
                <w:tab w:val="left" w:pos="8820"/>
              </w:tabs>
              <w:rPr>
                <w:rFonts w:ascii="Calibri" w:eastAsia="Calibri" w:hAnsi="Calibri" w:cs="Calibri"/>
                <w:i/>
                <w:sz w:val="20"/>
                <w:szCs w:val="20"/>
              </w:rPr>
            </w:pPr>
            <w:r w:rsidRPr="00BE736B">
              <w:rPr>
                <w:rFonts w:ascii="Calibri" w:hAnsi="Calibri" w:cs="Calibri"/>
                <w:sz w:val="20"/>
                <w:szCs w:val="20"/>
              </w:rPr>
              <w:t> </w:t>
            </w:r>
          </w:p>
        </w:tc>
      </w:tr>
      <w:tr w:rsidR="001C5772" w:rsidRPr="00BE736B" w14:paraId="10E55819" w14:textId="77777777" w:rsidTr="00BE736B">
        <w:tc>
          <w:tcPr>
            <w:tcW w:w="2695" w:type="dxa"/>
          </w:tcPr>
          <w:p w14:paraId="22DACB23" w14:textId="77777777" w:rsidR="001C5772" w:rsidRPr="00BE736B" w:rsidRDefault="001C5772" w:rsidP="00BE736B">
            <w:pPr>
              <w:tabs>
                <w:tab w:val="left" w:pos="8820"/>
              </w:tabs>
              <w:ind w:left="432" w:hanging="450"/>
              <w:rPr>
                <w:rFonts w:ascii="Calibri" w:hAnsi="Calibri" w:cs="Calibri"/>
                <w:sz w:val="20"/>
                <w:szCs w:val="20"/>
              </w:rPr>
            </w:pPr>
            <w:r w:rsidRPr="00BE736B">
              <w:rPr>
                <w:rFonts w:ascii="Calibri" w:hAnsi="Calibri" w:cs="Calibri"/>
                <w:sz w:val="20"/>
                <w:szCs w:val="20"/>
              </w:rPr>
              <w:t xml:space="preserve">Q5. Where will the tax return be </w:t>
            </w:r>
            <w:proofErr w:type="gramStart"/>
            <w:r w:rsidRPr="00BE736B">
              <w:rPr>
                <w:rFonts w:ascii="Calibri" w:hAnsi="Calibri" w:cs="Calibri"/>
                <w:sz w:val="20"/>
                <w:szCs w:val="20"/>
              </w:rPr>
              <w:t>filed</w:t>
            </w:r>
            <w:proofErr w:type="gramEnd"/>
            <w:r w:rsidRPr="00BE736B">
              <w:rPr>
                <w:rFonts w:ascii="Calibri" w:hAnsi="Calibri" w:cs="Calibri"/>
                <w:sz w:val="20"/>
                <w:szCs w:val="20"/>
              </w:rPr>
              <w:t xml:space="preserve"> and the corresponding tax be paid?</w:t>
            </w:r>
          </w:p>
        </w:tc>
        <w:tc>
          <w:tcPr>
            <w:tcW w:w="6655" w:type="dxa"/>
          </w:tcPr>
          <w:p w14:paraId="3EAFCC17" w14:textId="77777777" w:rsidR="001C5772" w:rsidRPr="00BE736B" w:rsidRDefault="001C5772" w:rsidP="00BE736B">
            <w:pPr>
              <w:pStyle w:val="xmsolistparagraph"/>
              <w:ind w:left="520" w:hanging="538"/>
              <w:rPr>
                <w:sz w:val="20"/>
                <w:szCs w:val="20"/>
              </w:rPr>
            </w:pPr>
            <w:r w:rsidRPr="00BE736B">
              <w:rPr>
                <w:sz w:val="20"/>
                <w:szCs w:val="20"/>
              </w:rPr>
              <w:t xml:space="preserve">A5.   The accomplished tax return shall be filed using the </w:t>
            </w:r>
            <w:proofErr w:type="spellStart"/>
            <w:r w:rsidRPr="00BE736B">
              <w:rPr>
                <w:sz w:val="20"/>
                <w:szCs w:val="20"/>
              </w:rPr>
              <w:t>eBIRForm</w:t>
            </w:r>
            <w:proofErr w:type="spellEnd"/>
            <w:r w:rsidRPr="00BE736B">
              <w:rPr>
                <w:sz w:val="20"/>
                <w:szCs w:val="20"/>
              </w:rPr>
              <w:t xml:space="preserve"> facility and the tax due, if any, shall be paid using the available modes of payment of the BIR. The duly received hard copies of the tax returns, together with copy/</w:t>
            </w:r>
            <w:proofErr w:type="spellStart"/>
            <w:r w:rsidRPr="00BE736B">
              <w:rPr>
                <w:sz w:val="20"/>
                <w:szCs w:val="20"/>
              </w:rPr>
              <w:t>ies</w:t>
            </w:r>
            <w:proofErr w:type="spellEnd"/>
            <w:r w:rsidRPr="00BE736B">
              <w:rPr>
                <w:sz w:val="20"/>
                <w:szCs w:val="20"/>
              </w:rPr>
              <w:t xml:space="preserve"> of the PERA TCC and the other prescribed attachments, shall be submitted to the Revenue District Office (RDO) where the contributor is duly registered, pursuant to the existing revenue guidelines and procedures.</w:t>
            </w:r>
          </w:p>
          <w:p w14:paraId="7935680B" w14:textId="77777777" w:rsidR="001C5772" w:rsidRPr="00BE736B" w:rsidRDefault="001C5772" w:rsidP="00BE736B">
            <w:pPr>
              <w:tabs>
                <w:tab w:val="left" w:pos="8820"/>
              </w:tabs>
              <w:rPr>
                <w:rFonts w:ascii="Calibri" w:eastAsia="Calibri" w:hAnsi="Calibri" w:cs="Calibri"/>
                <w:i/>
                <w:sz w:val="20"/>
                <w:szCs w:val="20"/>
              </w:rPr>
            </w:pPr>
            <w:r w:rsidRPr="00BE736B">
              <w:rPr>
                <w:rFonts w:ascii="Calibri" w:hAnsi="Calibri" w:cs="Calibri"/>
                <w:b/>
                <w:bCs/>
                <w:sz w:val="20"/>
                <w:szCs w:val="20"/>
              </w:rPr>
              <w:t> </w:t>
            </w:r>
          </w:p>
        </w:tc>
      </w:tr>
      <w:tr w:rsidR="001C5772" w:rsidRPr="00BE736B" w14:paraId="4B59CDA9" w14:textId="77777777" w:rsidTr="00BE736B">
        <w:tc>
          <w:tcPr>
            <w:tcW w:w="2695" w:type="dxa"/>
          </w:tcPr>
          <w:p w14:paraId="4971725A" w14:textId="77777777" w:rsidR="001C5772" w:rsidRPr="00BE736B" w:rsidRDefault="001C5772" w:rsidP="00BE736B">
            <w:pPr>
              <w:tabs>
                <w:tab w:val="left" w:pos="8820"/>
              </w:tabs>
              <w:ind w:left="432" w:hanging="450"/>
              <w:rPr>
                <w:rFonts w:ascii="Calibri" w:hAnsi="Calibri" w:cs="Calibri"/>
                <w:sz w:val="20"/>
                <w:szCs w:val="20"/>
              </w:rPr>
            </w:pPr>
            <w:r w:rsidRPr="00BE736B">
              <w:rPr>
                <w:rFonts w:ascii="Calibri" w:hAnsi="Calibri" w:cs="Calibri"/>
                <w:sz w:val="20"/>
                <w:szCs w:val="20"/>
              </w:rPr>
              <w:t>Q6.  How can an employer utilize the PERA TCC in computing the withholding tax of the qualified contributor-employee?</w:t>
            </w:r>
          </w:p>
        </w:tc>
        <w:tc>
          <w:tcPr>
            <w:tcW w:w="6655" w:type="dxa"/>
          </w:tcPr>
          <w:p w14:paraId="203CB42C" w14:textId="77777777" w:rsidR="001C5772" w:rsidRPr="00BE736B" w:rsidRDefault="001C5772" w:rsidP="00BE736B">
            <w:pPr>
              <w:pStyle w:val="xmsolistparagraph"/>
              <w:ind w:left="520" w:hanging="538"/>
              <w:rPr>
                <w:sz w:val="20"/>
                <w:szCs w:val="20"/>
              </w:rPr>
            </w:pPr>
            <w:r w:rsidRPr="00BE736B">
              <w:rPr>
                <w:sz w:val="20"/>
                <w:szCs w:val="20"/>
              </w:rPr>
              <w:t>A6.   Upon receipt of the PERA TCC from the PERA Administrator, the qualified contributor-employee shall submit the same to his or her employer. The employer shall apply the amount of the PERA TCC in the annual year-end adjustments for computing the net withholding tax due of the qualified contributor-employee.</w:t>
            </w:r>
          </w:p>
          <w:p w14:paraId="53D8CEC7" w14:textId="77777777" w:rsidR="001C5772" w:rsidRPr="00BE736B" w:rsidRDefault="001C5772" w:rsidP="00BE736B">
            <w:pPr>
              <w:pStyle w:val="xmsolistparagraph"/>
              <w:ind w:left="520"/>
              <w:rPr>
                <w:sz w:val="20"/>
                <w:szCs w:val="20"/>
              </w:rPr>
            </w:pPr>
            <w:r w:rsidRPr="00BE736B">
              <w:rPr>
                <w:sz w:val="20"/>
                <w:szCs w:val="20"/>
              </w:rPr>
              <w:t> </w:t>
            </w:r>
          </w:p>
          <w:p w14:paraId="3F819D7B" w14:textId="77777777" w:rsidR="001C5772" w:rsidRPr="00BE736B" w:rsidRDefault="001C5772" w:rsidP="00BE736B">
            <w:pPr>
              <w:pStyle w:val="xmsolistparagraph"/>
              <w:ind w:left="520"/>
              <w:rPr>
                <w:sz w:val="20"/>
                <w:szCs w:val="20"/>
              </w:rPr>
            </w:pPr>
            <w:r w:rsidRPr="00BE736B">
              <w:rPr>
                <w:sz w:val="20"/>
                <w:szCs w:val="20"/>
              </w:rPr>
              <w:t xml:space="preserve">If the total tax </w:t>
            </w:r>
            <w:proofErr w:type="gramStart"/>
            <w:r w:rsidRPr="00BE736B">
              <w:rPr>
                <w:sz w:val="20"/>
                <w:szCs w:val="20"/>
              </w:rPr>
              <w:t>actually withheld</w:t>
            </w:r>
            <w:proofErr w:type="gramEnd"/>
            <w:r w:rsidRPr="00BE736B">
              <w:rPr>
                <w:sz w:val="20"/>
                <w:szCs w:val="20"/>
              </w:rPr>
              <w:t xml:space="preserve"> and remitted to the BIR is more than the difference between the total tax due and the gross amount of PERA TCC, the excess shall be refunded to the qualified contributor-employee. However, if the gross amount of the PERA TCC shall exceed the total tax due, the excess shall be carried over and deducted from the withholding tax of the qualified contributor-employee in the next taxable year. On the other hand, the total amount actually withheld and remitted to the BIR 'shall be refunded by the employer to the qualified contributor-employee.</w:t>
            </w:r>
          </w:p>
          <w:p w14:paraId="6A8354D1" w14:textId="77777777" w:rsidR="001C5772" w:rsidRPr="00BE736B" w:rsidRDefault="001C5772" w:rsidP="00BE736B">
            <w:pPr>
              <w:tabs>
                <w:tab w:val="left" w:pos="8820"/>
              </w:tabs>
              <w:rPr>
                <w:rFonts w:ascii="Calibri" w:eastAsia="Calibri" w:hAnsi="Calibri" w:cs="Calibri"/>
                <w:i/>
                <w:sz w:val="20"/>
                <w:szCs w:val="20"/>
              </w:rPr>
            </w:pPr>
            <w:r w:rsidRPr="00BE736B">
              <w:rPr>
                <w:rFonts w:ascii="Calibri" w:hAnsi="Calibri" w:cs="Calibri"/>
                <w:sz w:val="20"/>
                <w:szCs w:val="20"/>
              </w:rPr>
              <w:t> </w:t>
            </w:r>
          </w:p>
        </w:tc>
      </w:tr>
      <w:tr w:rsidR="001C5772" w:rsidRPr="00BE736B" w14:paraId="3C8FF004" w14:textId="77777777" w:rsidTr="00BE736B">
        <w:tc>
          <w:tcPr>
            <w:tcW w:w="2695" w:type="dxa"/>
          </w:tcPr>
          <w:p w14:paraId="4F33B046" w14:textId="77777777" w:rsidR="001C5772" w:rsidRPr="00BE736B" w:rsidRDefault="001C5772" w:rsidP="00BE736B">
            <w:pPr>
              <w:tabs>
                <w:tab w:val="left" w:pos="8820"/>
              </w:tabs>
              <w:ind w:left="432" w:hanging="450"/>
              <w:rPr>
                <w:rFonts w:ascii="Calibri" w:hAnsi="Calibri" w:cs="Calibri"/>
                <w:sz w:val="20"/>
                <w:szCs w:val="20"/>
              </w:rPr>
            </w:pPr>
            <w:r w:rsidRPr="00BE736B">
              <w:rPr>
                <w:rFonts w:ascii="Calibri" w:hAnsi="Calibri" w:cs="Calibri"/>
                <w:sz w:val="20"/>
                <w:szCs w:val="20"/>
              </w:rPr>
              <w:t>Q7.  What will the employer do with the PERA TCC submitted by the qualified contributor-employee?</w:t>
            </w:r>
          </w:p>
        </w:tc>
        <w:tc>
          <w:tcPr>
            <w:tcW w:w="6655" w:type="dxa"/>
          </w:tcPr>
          <w:p w14:paraId="0CFE4C24" w14:textId="77777777" w:rsidR="001C5772" w:rsidRPr="00BE736B" w:rsidRDefault="001C5772" w:rsidP="00BE736B">
            <w:pPr>
              <w:pStyle w:val="xmsolistparagraph"/>
              <w:ind w:left="520" w:hanging="538"/>
              <w:rPr>
                <w:sz w:val="20"/>
                <w:szCs w:val="20"/>
              </w:rPr>
            </w:pPr>
            <w:r w:rsidRPr="00BE736B">
              <w:rPr>
                <w:sz w:val="20"/>
                <w:szCs w:val="20"/>
              </w:rPr>
              <w:t>A7.   The employer shall keep the submitted PERA TCC and produce the same when requested for inspection or verification by authorized BIR revenue personnel.</w:t>
            </w:r>
          </w:p>
          <w:p w14:paraId="12BBCB56" w14:textId="77777777" w:rsidR="001C5772" w:rsidRPr="00BE736B" w:rsidRDefault="001C5772" w:rsidP="00BE736B">
            <w:pPr>
              <w:pStyle w:val="xmsolistparagraph"/>
              <w:ind w:left="520"/>
              <w:rPr>
                <w:sz w:val="20"/>
                <w:szCs w:val="20"/>
              </w:rPr>
            </w:pPr>
            <w:r w:rsidRPr="00BE736B">
              <w:rPr>
                <w:sz w:val="20"/>
                <w:szCs w:val="20"/>
              </w:rPr>
              <w:t> </w:t>
            </w:r>
          </w:p>
          <w:p w14:paraId="497455F1" w14:textId="77777777" w:rsidR="001C5772" w:rsidRPr="00BE736B" w:rsidRDefault="001C5772" w:rsidP="00BE736B">
            <w:pPr>
              <w:pStyle w:val="xmsolistparagraph"/>
              <w:ind w:left="520"/>
              <w:rPr>
                <w:sz w:val="20"/>
                <w:szCs w:val="20"/>
              </w:rPr>
            </w:pPr>
            <w:r w:rsidRPr="00BE736B">
              <w:rPr>
                <w:sz w:val="20"/>
                <w:szCs w:val="20"/>
              </w:rPr>
              <w:t xml:space="preserve">Further, the applicable details of the certificate shall be indicated in the column provided for the purpose in the prescribed Annual Alphabetical List of Employees, including the Certificate of Compensation </w:t>
            </w:r>
            <w:r w:rsidRPr="00BE736B">
              <w:rPr>
                <w:sz w:val="20"/>
                <w:szCs w:val="20"/>
              </w:rPr>
              <w:lastRenderedPageBreak/>
              <w:t xml:space="preserve">Payment/Tax Withheld for Compensation Payment </w:t>
            </w:r>
            <w:proofErr w:type="gramStart"/>
            <w:r w:rsidRPr="00BE736B">
              <w:rPr>
                <w:sz w:val="20"/>
                <w:szCs w:val="20"/>
              </w:rPr>
              <w:t>With</w:t>
            </w:r>
            <w:proofErr w:type="gramEnd"/>
            <w:r w:rsidRPr="00BE736B">
              <w:rPr>
                <w:sz w:val="20"/>
                <w:szCs w:val="20"/>
              </w:rPr>
              <w:t xml:space="preserve"> or Without Tax Withheld (BIR Form No. 2316) of the qualified contributor-employee.</w:t>
            </w:r>
          </w:p>
          <w:p w14:paraId="0F11E522" w14:textId="77777777" w:rsidR="001C5772" w:rsidRPr="00BE736B" w:rsidRDefault="001C5772" w:rsidP="00BE736B">
            <w:pPr>
              <w:tabs>
                <w:tab w:val="left" w:pos="8820"/>
              </w:tabs>
              <w:rPr>
                <w:rFonts w:ascii="Calibri" w:eastAsia="Calibri" w:hAnsi="Calibri" w:cs="Calibri"/>
                <w:i/>
                <w:sz w:val="20"/>
                <w:szCs w:val="20"/>
              </w:rPr>
            </w:pPr>
            <w:r w:rsidRPr="00BE736B">
              <w:rPr>
                <w:rFonts w:ascii="Calibri" w:hAnsi="Calibri" w:cs="Calibri"/>
                <w:sz w:val="20"/>
                <w:szCs w:val="20"/>
              </w:rPr>
              <w:t> </w:t>
            </w:r>
          </w:p>
        </w:tc>
      </w:tr>
      <w:tr w:rsidR="001C5772" w:rsidRPr="00BE736B" w14:paraId="58AAD80D" w14:textId="77777777" w:rsidTr="00BE736B">
        <w:tc>
          <w:tcPr>
            <w:tcW w:w="2695" w:type="dxa"/>
          </w:tcPr>
          <w:p w14:paraId="78F798CD" w14:textId="77777777" w:rsidR="001C5772" w:rsidRPr="00BE736B" w:rsidRDefault="001C5772" w:rsidP="00BE736B">
            <w:pPr>
              <w:tabs>
                <w:tab w:val="left" w:pos="8820"/>
              </w:tabs>
              <w:ind w:left="432" w:hanging="450"/>
              <w:rPr>
                <w:rFonts w:ascii="Calibri" w:hAnsi="Calibri" w:cs="Calibri"/>
                <w:sz w:val="20"/>
                <w:szCs w:val="20"/>
              </w:rPr>
            </w:pPr>
            <w:r w:rsidRPr="00BE736B">
              <w:rPr>
                <w:rFonts w:ascii="Calibri" w:hAnsi="Calibri" w:cs="Calibri"/>
                <w:sz w:val="20"/>
                <w:szCs w:val="20"/>
              </w:rPr>
              <w:lastRenderedPageBreak/>
              <w:t>Q8.  How will the employer’s contribution to the share in the qualified contributor-employee be declared as deduction from its income?</w:t>
            </w:r>
          </w:p>
          <w:p w14:paraId="4DADD806" w14:textId="77777777" w:rsidR="001C5772" w:rsidRPr="00BE736B" w:rsidRDefault="001C5772" w:rsidP="00BE736B">
            <w:pPr>
              <w:tabs>
                <w:tab w:val="left" w:pos="8820"/>
              </w:tabs>
              <w:ind w:left="432" w:hanging="450"/>
              <w:rPr>
                <w:rFonts w:ascii="Calibri" w:hAnsi="Calibri" w:cs="Calibri"/>
                <w:sz w:val="20"/>
                <w:szCs w:val="20"/>
              </w:rPr>
            </w:pPr>
          </w:p>
        </w:tc>
        <w:tc>
          <w:tcPr>
            <w:tcW w:w="6655" w:type="dxa"/>
          </w:tcPr>
          <w:p w14:paraId="21453938" w14:textId="77777777" w:rsidR="001C5772" w:rsidRPr="00BE736B" w:rsidRDefault="001C5772" w:rsidP="00BE736B">
            <w:pPr>
              <w:pStyle w:val="xmsolistparagraph"/>
              <w:ind w:left="520" w:hanging="538"/>
              <w:rPr>
                <w:sz w:val="20"/>
                <w:szCs w:val="20"/>
              </w:rPr>
            </w:pPr>
            <w:r w:rsidRPr="00BE736B">
              <w:rPr>
                <w:sz w:val="20"/>
                <w:szCs w:val="20"/>
              </w:rPr>
              <w:t xml:space="preserve">A8.   For employers with share in its employee's PERA contribution, the employer's share not exceeding the total amount </w:t>
            </w:r>
            <w:proofErr w:type="gramStart"/>
            <w:r w:rsidRPr="00BE736B">
              <w:rPr>
                <w:sz w:val="20"/>
                <w:szCs w:val="20"/>
              </w:rPr>
              <w:t>actually contributed</w:t>
            </w:r>
            <w:proofErr w:type="gramEnd"/>
            <w:r w:rsidRPr="00BE736B">
              <w:rPr>
                <w:sz w:val="20"/>
                <w:szCs w:val="20"/>
              </w:rPr>
              <w:t xml:space="preserve"> may be reflected in the income tax return as deductible expense from its gross sales. For uniformity, the phrase "Share in Qualified Employee's PERA Contribution" shall be used as the account name.</w:t>
            </w:r>
          </w:p>
          <w:p w14:paraId="77B0E76A" w14:textId="77777777" w:rsidR="001C5772" w:rsidRPr="00BE736B" w:rsidRDefault="001C5772" w:rsidP="00BE736B">
            <w:pPr>
              <w:tabs>
                <w:tab w:val="left" w:pos="8820"/>
              </w:tabs>
              <w:rPr>
                <w:rFonts w:ascii="Calibri" w:eastAsia="Calibri" w:hAnsi="Calibri" w:cs="Calibri"/>
                <w:i/>
                <w:sz w:val="20"/>
                <w:szCs w:val="20"/>
              </w:rPr>
            </w:pPr>
            <w:r w:rsidRPr="00BE736B">
              <w:rPr>
                <w:rFonts w:ascii="Calibri" w:hAnsi="Calibri" w:cs="Calibri"/>
                <w:sz w:val="20"/>
                <w:szCs w:val="20"/>
              </w:rPr>
              <w:t> </w:t>
            </w:r>
          </w:p>
        </w:tc>
      </w:tr>
      <w:tr w:rsidR="001C5772" w:rsidRPr="00BE736B" w14:paraId="744AE368" w14:textId="77777777" w:rsidTr="00BE736B">
        <w:tc>
          <w:tcPr>
            <w:tcW w:w="2695" w:type="dxa"/>
          </w:tcPr>
          <w:p w14:paraId="2D2F3F05" w14:textId="77777777" w:rsidR="001C5772" w:rsidRPr="00BE736B" w:rsidRDefault="001C5772" w:rsidP="00BE736B">
            <w:pPr>
              <w:tabs>
                <w:tab w:val="left" w:pos="8820"/>
              </w:tabs>
              <w:ind w:left="432" w:hanging="450"/>
              <w:rPr>
                <w:rFonts w:ascii="Calibri" w:hAnsi="Calibri" w:cs="Calibri"/>
                <w:sz w:val="20"/>
                <w:szCs w:val="20"/>
              </w:rPr>
            </w:pPr>
            <w:r w:rsidRPr="00BE736B">
              <w:rPr>
                <w:rFonts w:ascii="Calibri" w:hAnsi="Calibri" w:cs="Calibri"/>
                <w:sz w:val="20"/>
                <w:szCs w:val="20"/>
              </w:rPr>
              <w:t>Q9. What shall be the liabilities of a qualified contributor who shall use a spurious PERA TCC for the payment of his or her internal revenue taxes?</w:t>
            </w:r>
          </w:p>
          <w:p w14:paraId="0891638F" w14:textId="77777777" w:rsidR="001C5772" w:rsidRPr="00BE736B" w:rsidRDefault="001C5772" w:rsidP="00BE736B">
            <w:pPr>
              <w:tabs>
                <w:tab w:val="left" w:pos="8820"/>
              </w:tabs>
              <w:ind w:left="432" w:hanging="450"/>
              <w:rPr>
                <w:rFonts w:ascii="Calibri" w:hAnsi="Calibri" w:cs="Calibri"/>
                <w:sz w:val="20"/>
                <w:szCs w:val="20"/>
              </w:rPr>
            </w:pPr>
          </w:p>
        </w:tc>
        <w:tc>
          <w:tcPr>
            <w:tcW w:w="6655" w:type="dxa"/>
          </w:tcPr>
          <w:p w14:paraId="4CA51607" w14:textId="77777777" w:rsidR="001C5772" w:rsidRPr="00BE736B" w:rsidRDefault="001C5772" w:rsidP="00BE736B">
            <w:pPr>
              <w:tabs>
                <w:tab w:val="left" w:pos="8820"/>
              </w:tabs>
              <w:ind w:left="522" w:hanging="522"/>
              <w:rPr>
                <w:rFonts w:ascii="Calibri" w:eastAsia="Calibri" w:hAnsi="Calibri" w:cs="Calibri"/>
                <w:i/>
                <w:sz w:val="20"/>
                <w:szCs w:val="20"/>
              </w:rPr>
            </w:pPr>
            <w:r w:rsidRPr="00BE736B">
              <w:rPr>
                <w:rFonts w:ascii="Calibri" w:hAnsi="Calibri" w:cs="Calibri"/>
                <w:sz w:val="20"/>
                <w:szCs w:val="20"/>
              </w:rPr>
              <w:t>A9.   Without prejudice to the filing of appropriate criminal charges, the qualified contributor who uses spurious PERA TCC shall be liable to pay the amount utilized with 50% penalty for fraud and 12% interest per annum.</w:t>
            </w:r>
          </w:p>
        </w:tc>
      </w:tr>
      <w:tr w:rsidR="001C5772" w:rsidRPr="00BE736B" w14:paraId="4069CAD3" w14:textId="77777777" w:rsidTr="00BE736B">
        <w:tc>
          <w:tcPr>
            <w:tcW w:w="2695" w:type="dxa"/>
          </w:tcPr>
          <w:p w14:paraId="7802F6F4" w14:textId="77777777" w:rsidR="001C5772" w:rsidRPr="00BE736B" w:rsidRDefault="001C5772" w:rsidP="00BE736B">
            <w:pPr>
              <w:tabs>
                <w:tab w:val="left" w:pos="8820"/>
              </w:tabs>
              <w:ind w:left="432" w:hanging="450"/>
              <w:rPr>
                <w:rFonts w:ascii="Calibri" w:hAnsi="Calibri" w:cs="Calibri"/>
                <w:sz w:val="20"/>
                <w:szCs w:val="20"/>
              </w:rPr>
            </w:pPr>
            <w:r w:rsidRPr="00BE736B">
              <w:rPr>
                <w:rFonts w:ascii="Calibri" w:hAnsi="Calibri" w:cs="Calibri"/>
                <w:sz w:val="20"/>
                <w:szCs w:val="20"/>
              </w:rPr>
              <w:t xml:space="preserve">Q10.How shall the BIR validate the </w:t>
            </w:r>
            <w:proofErr w:type="spellStart"/>
            <w:r w:rsidRPr="00BE736B">
              <w:rPr>
                <w:rFonts w:ascii="Calibri" w:hAnsi="Calibri" w:cs="Calibri"/>
                <w:sz w:val="20"/>
                <w:szCs w:val="20"/>
              </w:rPr>
              <w:t>availments</w:t>
            </w:r>
            <w:proofErr w:type="spellEnd"/>
            <w:r w:rsidRPr="00BE736B">
              <w:rPr>
                <w:rFonts w:ascii="Calibri" w:hAnsi="Calibri" w:cs="Calibri"/>
                <w:sz w:val="20"/>
                <w:szCs w:val="20"/>
              </w:rPr>
              <w:t xml:space="preserve"> of PERA TCCs?</w:t>
            </w:r>
          </w:p>
        </w:tc>
        <w:tc>
          <w:tcPr>
            <w:tcW w:w="6655" w:type="dxa"/>
          </w:tcPr>
          <w:p w14:paraId="24C8D751" w14:textId="77777777" w:rsidR="001C5772" w:rsidRPr="00BE736B" w:rsidRDefault="001C5772" w:rsidP="00BE736B">
            <w:pPr>
              <w:pStyle w:val="xmsolistparagraph"/>
              <w:ind w:left="520" w:hanging="538"/>
              <w:rPr>
                <w:sz w:val="20"/>
                <w:szCs w:val="20"/>
              </w:rPr>
            </w:pPr>
            <w:r w:rsidRPr="00BE736B">
              <w:rPr>
                <w:sz w:val="20"/>
                <w:szCs w:val="20"/>
              </w:rPr>
              <w:t xml:space="preserve">A10. For purposes of validating the </w:t>
            </w:r>
            <w:proofErr w:type="spellStart"/>
            <w:r w:rsidRPr="00BE736B">
              <w:rPr>
                <w:sz w:val="20"/>
                <w:szCs w:val="20"/>
              </w:rPr>
              <w:t>availments</w:t>
            </w:r>
            <w:proofErr w:type="spellEnd"/>
            <w:r w:rsidRPr="00BE736B">
              <w:rPr>
                <w:sz w:val="20"/>
                <w:szCs w:val="20"/>
              </w:rPr>
              <w:t xml:space="preserve"> of PERA TCCs, the Chief, Audit Information Tax Incentives &amp; Exemption Division (AITIED) shall transmit to the concerned Office in the Information Systems Group (ISG) a list of taxpayers who are qualified contributors who have been issued PERA TCCs. The concerned ISG Office shall generate a report containing, among others, the qualified contributors who have deducted the amounts of PERA TCCs in their tax returns, including those deductions but without the corresponding information from the AITIED list. Copies of this report shall be transmitted to Chief, AITIED and the Chief, Collection Section of the concerned Revenue District Office.</w:t>
            </w:r>
          </w:p>
          <w:p w14:paraId="47F90ED3" w14:textId="77777777" w:rsidR="001C5772" w:rsidRPr="00BE736B" w:rsidRDefault="001C5772" w:rsidP="00BE736B">
            <w:pPr>
              <w:pStyle w:val="xmsolistparagraph"/>
              <w:ind w:left="520"/>
              <w:rPr>
                <w:sz w:val="20"/>
                <w:szCs w:val="20"/>
              </w:rPr>
            </w:pPr>
            <w:r w:rsidRPr="00BE736B">
              <w:rPr>
                <w:sz w:val="20"/>
                <w:szCs w:val="20"/>
              </w:rPr>
              <w:br/>
              <w:t>The Collection Section of the RDO shall perform the following procedures:</w:t>
            </w:r>
          </w:p>
          <w:p w14:paraId="38BA8AAC" w14:textId="77777777" w:rsidR="001C5772" w:rsidRPr="00BE736B" w:rsidRDefault="001C5772" w:rsidP="00BE736B">
            <w:pPr>
              <w:pStyle w:val="xmsolistparagraph"/>
              <w:ind w:left="520"/>
              <w:rPr>
                <w:sz w:val="20"/>
                <w:szCs w:val="20"/>
              </w:rPr>
            </w:pPr>
            <w:r w:rsidRPr="00BE736B">
              <w:rPr>
                <w:sz w:val="20"/>
                <w:szCs w:val="20"/>
              </w:rPr>
              <w:t> </w:t>
            </w:r>
          </w:p>
          <w:p w14:paraId="6766B00A" w14:textId="77777777" w:rsidR="001C5772" w:rsidRPr="00BE736B" w:rsidRDefault="001C5772" w:rsidP="001C5772">
            <w:pPr>
              <w:pStyle w:val="xmsolistparagraph"/>
              <w:numPr>
                <w:ilvl w:val="1"/>
                <w:numId w:val="1"/>
              </w:numPr>
              <w:tabs>
                <w:tab w:val="clear" w:pos="1440"/>
              </w:tabs>
              <w:ind w:left="972"/>
              <w:rPr>
                <w:rFonts w:eastAsia="Times New Roman"/>
                <w:sz w:val="20"/>
                <w:szCs w:val="20"/>
              </w:rPr>
            </w:pPr>
            <w:r w:rsidRPr="00BE736B">
              <w:rPr>
                <w:rFonts w:eastAsia="Times New Roman"/>
                <w:sz w:val="20"/>
                <w:szCs w:val="20"/>
              </w:rPr>
              <w:t xml:space="preserve">Collate the tax returns and attachments filed by the qualified contributors under their jurisdiction. </w:t>
            </w:r>
          </w:p>
          <w:p w14:paraId="697C5B61" w14:textId="77777777" w:rsidR="001C5772" w:rsidRPr="00BE736B" w:rsidRDefault="001C5772" w:rsidP="00BE736B">
            <w:pPr>
              <w:pStyle w:val="xmsolistparagraph"/>
              <w:ind w:left="972"/>
              <w:rPr>
                <w:sz w:val="20"/>
                <w:szCs w:val="20"/>
              </w:rPr>
            </w:pPr>
            <w:r w:rsidRPr="00BE736B">
              <w:rPr>
                <w:sz w:val="20"/>
                <w:szCs w:val="20"/>
              </w:rPr>
              <w:t> </w:t>
            </w:r>
          </w:p>
          <w:p w14:paraId="62CA79B8" w14:textId="77777777" w:rsidR="001C5772" w:rsidRPr="00BE736B" w:rsidRDefault="001C5772" w:rsidP="001C5772">
            <w:pPr>
              <w:pStyle w:val="xmsolistparagraph"/>
              <w:numPr>
                <w:ilvl w:val="1"/>
                <w:numId w:val="2"/>
              </w:numPr>
              <w:tabs>
                <w:tab w:val="clear" w:pos="1440"/>
              </w:tabs>
              <w:ind w:left="972"/>
              <w:rPr>
                <w:rFonts w:eastAsia="Times New Roman"/>
                <w:sz w:val="20"/>
                <w:szCs w:val="20"/>
              </w:rPr>
            </w:pPr>
            <w:r w:rsidRPr="00BE736B">
              <w:rPr>
                <w:rFonts w:eastAsia="Times New Roman"/>
                <w:sz w:val="20"/>
                <w:szCs w:val="20"/>
              </w:rPr>
              <w:t xml:space="preserve">Validate the correctness of the computations in the tax returns. </w:t>
            </w:r>
          </w:p>
          <w:p w14:paraId="0CAC6DC0" w14:textId="77777777" w:rsidR="001C5772" w:rsidRPr="00BE736B" w:rsidRDefault="001C5772" w:rsidP="00BE736B">
            <w:pPr>
              <w:pStyle w:val="xmsolistparagraph"/>
              <w:ind w:left="972"/>
              <w:rPr>
                <w:sz w:val="20"/>
                <w:szCs w:val="20"/>
              </w:rPr>
            </w:pPr>
            <w:r w:rsidRPr="00BE736B">
              <w:rPr>
                <w:sz w:val="20"/>
                <w:szCs w:val="20"/>
              </w:rPr>
              <w:t> </w:t>
            </w:r>
          </w:p>
          <w:p w14:paraId="4DFB136D" w14:textId="77777777" w:rsidR="001C5772" w:rsidRPr="00BE736B" w:rsidRDefault="001C5772" w:rsidP="001C5772">
            <w:pPr>
              <w:pStyle w:val="xmsolistparagraph"/>
              <w:numPr>
                <w:ilvl w:val="1"/>
                <w:numId w:val="3"/>
              </w:numPr>
              <w:tabs>
                <w:tab w:val="clear" w:pos="1440"/>
              </w:tabs>
              <w:ind w:left="972"/>
              <w:rPr>
                <w:rFonts w:eastAsia="Times New Roman"/>
                <w:sz w:val="20"/>
                <w:szCs w:val="20"/>
              </w:rPr>
            </w:pPr>
            <w:r w:rsidRPr="00BE736B">
              <w:rPr>
                <w:rFonts w:eastAsia="Times New Roman"/>
                <w:sz w:val="20"/>
                <w:szCs w:val="20"/>
              </w:rPr>
              <w:t xml:space="preserve">Based on the list received from the concerned ISG Office, validate the PERA TCC(s) attached to the tax return. </w:t>
            </w:r>
          </w:p>
          <w:p w14:paraId="34250AAD" w14:textId="77777777" w:rsidR="001C5772" w:rsidRPr="00BE736B" w:rsidRDefault="001C5772" w:rsidP="00BE736B">
            <w:pPr>
              <w:pStyle w:val="xmsolistparagraph"/>
              <w:ind w:left="972"/>
              <w:rPr>
                <w:sz w:val="20"/>
                <w:szCs w:val="20"/>
              </w:rPr>
            </w:pPr>
            <w:r w:rsidRPr="00BE736B">
              <w:rPr>
                <w:sz w:val="20"/>
                <w:szCs w:val="20"/>
              </w:rPr>
              <w:t> </w:t>
            </w:r>
          </w:p>
          <w:p w14:paraId="0C174CAB" w14:textId="77777777" w:rsidR="001C5772" w:rsidRPr="00BE736B" w:rsidRDefault="001C5772" w:rsidP="001C5772">
            <w:pPr>
              <w:pStyle w:val="xmsolistparagraph"/>
              <w:numPr>
                <w:ilvl w:val="1"/>
                <w:numId w:val="4"/>
              </w:numPr>
              <w:tabs>
                <w:tab w:val="clear" w:pos="1440"/>
              </w:tabs>
              <w:ind w:left="972"/>
              <w:rPr>
                <w:rFonts w:eastAsia="Times New Roman"/>
                <w:sz w:val="20"/>
                <w:szCs w:val="20"/>
              </w:rPr>
            </w:pPr>
            <w:r w:rsidRPr="00BE736B">
              <w:rPr>
                <w:rFonts w:eastAsia="Times New Roman"/>
                <w:sz w:val="20"/>
                <w:szCs w:val="20"/>
              </w:rPr>
              <w:t xml:space="preserve">Encode in the </w:t>
            </w:r>
            <w:proofErr w:type="spellStart"/>
            <w:r w:rsidRPr="00BE736B">
              <w:rPr>
                <w:rFonts w:eastAsia="Times New Roman"/>
                <w:sz w:val="20"/>
                <w:szCs w:val="20"/>
              </w:rPr>
              <w:t>ePERA</w:t>
            </w:r>
            <w:proofErr w:type="spellEnd"/>
            <w:r w:rsidRPr="00BE736B">
              <w:rPr>
                <w:rFonts w:eastAsia="Times New Roman"/>
                <w:sz w:val="20"/>
                <w:szCs w:val="20"/>
              </w:rPr>
              <w:t xml:space="preserve"> system the validated amount of utilized PERA TCC within ten (10) days from the date of the tax return was filed in the </w:t>
            </w:r>
            <w:proofErr w:type="spellStart"/>
            <w:r w:rsidRPr="00BE736B">
              <w:rPr>
                <w:rFonts w:eastAsia="Times New Roman"/>
                <w:sz w:val="20"/>
                <w:szCs w:val="20"/>
              </w:rPr>
              <w:t>eBIRForm</w:t>
            </w:r>
            <w:proofErr w:type="spellEnd"/>
            <w:r w:rsidRPr="00BE736B">
              <w:rPr>
                <w:rFonts w:eastAsia="Times New Roman"/>
                <w:sz w:val="20"/>
                <w:szCs w:val="20"/>
              </w:rPr>
              <w:t xml:space="preserve"> facility.</w:t>
            </w:r>
          </w:p>
          <w:p w14:paraId="74E4E9F9" w14:textId="77777777" w:rsidR="001C5772" w:rsidRPr="00BE736B" w:rsidRDefault="001C5772" w:rsidP="00BE736B">
            <w:pPr>
              <w:pStyle w:val="xmsolistparagraph"/>
              <w:ind w:left="972"/>
              <w:rPr>
                <w:sz w:val="20"/>
                <w:szCs w:val="20"/>
              </w:rPr>
            </w:pPr>
            <w:r w:rsidRPr="00BE736B">
              <w:rPr>
                <w:sz w:val="20"/>
                <w:szCs w:val="20"/>
              </w:rPr>
              <w:br/>
              <w:t>In cases of non-availability of the online filing facility and the manual filing of tax returns should be made with the RDO (e.g., ONETT transactions), the validated amount of utilized PERA TCC shall be encoded immediately upon receipt of the tax return.</w:t>
            </w:r>
          </w:p>
          <w:p w14:paraId="0CF0FBF5" w14:textId="77777777" w:rsidR="001C5772" w:rsidRPr="00BE736B" w:rsidRDefault="001C5772" w:rsidP="00BE736B">
            <w:pPr>
              <w:pStyle w:val="xmsolistparagraph"/>
              <w:ind w:left="972"/>
              <w:rPr>
                <w:sz w:val="20"/>
                <w:szCs w:val="20"/>
              </w:rPr>
            </w:pPr>
            <w:r w:rsidRPr="00BE736B">
              <w:rPr>
                <w:sz w:val="20"/>
                <w:szCs w:val="20"/>
              </w:rPr>
              <w:t> </w:t>
            </w:r>
          </w:p>
          <w:p w14:paraId="13FE9B48" w14:textId="77777777" w:rsidR="001C5772" w:rsidRPr="00BE736B" w:rsidRDefault="001C5772" w:rsidP="001C5772">
            <w:pPr>
              <w:pStyle w:val="xmsolistparagraph"/>
              <w:numPr>
                <w:ilvl w:val="1"/>
                <w:numId w:val="5"/>
              </w:numPr>
              <w:tabs>
                <w:tab w:val="clear" w:pos="1440"/>
              </w:tabs>
              <w:ind w:left="972"/>
              <w:rPr>
                <w:rFonts w:eastAsia="Times New Roman"/>
                <w:sz w:val="20"/>
                <w:szCs w:val="20"/>
              </w:rPr>
            </w:pPr>
            <w:r w:rsidRPr="00BE736B">
              <w:rPr>
                <w:rFonts w:eastAsia="Times New Roman"/>
                <w:sz w:val="20"/>
                <w:szCs w:val="20"/>
              </w:rPr>
              <w:t xml:space="preserve">Send written notice to the qualified contributors for the collection of the tax deficiency and penalties, if any, by reason of wrongful </w:t>
            </w:r>
            <w:r w:rsidRPr="00BE736B">
              <w:rPr>
                <w:rFonts w:eastAsia="Times New Roman"/>
                <w:sz w:val="20"/>
                <w:szCs w:val="20"/>
              </w:rPr>
              <w:lastRenderedPageBreak/>
              <w:t>computation of taxes or by reason of the use of spurious PERA TCC.</w:t>
            </w:r>
          </w:p>
          <w:p w14:paraId="2997D241" w14:textId="77777777" w:rsidR="001C5772" w:rsidRPr="00BE736B" w:rsidRDefault="001C5772" w:rsidP="00BE736B">
            <w:pPr>
              <w:tabs>
                <w:tab w:val="left" w:pos="8820"/>
              </w:tabs>
              <w:rPr>
                <w:rFonts w:ascii="Calibri" w:eastAsia="Calibri" w:hAnsi="Calibri" w:cs="Calibri"/>
                <w:i/>
                <w:sz w:val="20"/>
                <w:szCs w:val="20"/>
              </w:rPr>
            </w:pPr>
            <w:r w:rsidRPr="00BE736B">
              <w:rPr>
                <w:rFonts w:ascii="Calibri" w:hAnsi="Calibri" w:cs="Calibri"/>
                <w:sz w:val="20"/>
                <w:szCs w:val="20"/>
              </w:rPr>
              <w:t> </w:t>
            </w:r>
          </w:p>
        </w:tc>
      </w:tr>
    </w:tbl>
    <w:p w14:paraId="3596D7DF" w14:textId="77777777" w:rsidR="001C5772" w:rsidRPr="00BE736B" w:rsidRDefault="001C5772" w:rsidP="001C5772">
      <w:pPr>
        <w:pStyle w:val="ListParagraph"/>
        <w:ind w:left="360" w:right="720"/>
        <w:rPr>
          <w:rFonts w:ascii="Calibri" w:hAnsi="Calibri" w:cs="Calibri"/>
          <w:b/>
          <w:bCs/>
          <w:sz w:val="20"/>
          <w:szCs w:val="20"/>
        </w:rPr>
      </w:pPr>
    </w:p>
    <w:p w14:paraId="76E449F8" w14:textId="77777777" w:rsidR="001C5772" w:rsidRPr="00BE736B" w:rsidRDefault="001C5772" w:rsidP="001C5772">
      <w:pPr>
        <w:pStyle w:val="ListParagraph"/>
        <w:spacing w:after="0" w:line="240" w:lineRule="auto"/>
        <w:ind w:left="360" w:right="720"/>
        <w:jc w:val="both"/>
        <w:rPr>
          <w:rFonts w:ascii="Calibri" w:hAnsi="Calibri" w:cs="Calibri"/>
          <w:b/>
          <w:bCs/>
          <w:sz w:val="20"/>
          <w:szCs w:val="20"/>
        </w:rPr>
      </w:pPr>
    </w:p>
    <w:p w14:paraId="2EF6A5A2" w14:textId="77777777" w:rsidR="001C5772" w:rsidRPr="00BE736B" w:rsidRDefault="001C5772" w:rsidP="001C5772">
      <w:pPr>
        <w:pStyle w:val="ListParagraph"/>
        <w:spacing w:after="0" w:line="240" w:lineRule="auto"/>
        <w:ind w:left="360" w:right="720"/>
        <w:rPr>
          <w:rFonts w:ascii="Calibri" w:hAnsi="Calibri" w:cs="Calibri"/>
          <w:b/>
          <w:bCs/>
          <w:sz w:val="20"/>
          <w:szCs w:val="20"/>
        </w:rPr>
      </w:pPr>
    </w:p>
    <w:p w14:paraId="473CF91D" w14:textId="77777777" w:rsidR="001C5772" w:rsidRPr="00BE736B" w:rsidRDefault="001C5772" w:rsidP="001C5772">
      <w:pPr>
        <w:spacing w:after="0" w:line="240" w:lineRule="auto"/>
        <w:ind w:right="720"/>
        <w:rPr>
          <w:rFonts w:ascii="Calibri" w:hAnsi="Calibri" w:cs="Calibri"/>
          <w:b/>
          <w:bCs/>
          <w:sz w:val="20"/>
          <w:szCs w:val="20"/>
        </w:rPr>
      </w:pPr>
      <w:r w:rsidRPr="00BE736B">
        <w:rPr>
          <w:rFonts w:ascii="Calibri" w:hAnsi="Calibri" w:cs="Calibri"/>
          <w:b/>
          <w:bCs/>
          <w:sz w:val="20"/>
          <w:szCs w:val="20"/>
        </w:rPr>
        <w:t xml:space="preserve">REVENUE MEMORANDUM CIRCULAR 1-2021 (dated December 17, 2021 issued on January 5, 2021) Consolidated Price of Sugar </w:t>
      </w:r>
      <w:proofErr w:type="spellStart"/>
      <w:r w:rsidRPr="00BE736B">
        <w:rPr>
          <w:rFonts w:ascii="Calibri" w:hAnsi="Calibri" w:cs="Calibri"/>
          <w:b/>
          <w:bCs/>
          <w:sz w:val="20"/>
          <w:szCs w:val="20"/>
        </w:rPr>
        <w:t>Millsite</w:t>
      </w:r>
      <w:proofErr w:type="spellEnd"/>
      <w:r w:rsidRPr="00BE736B">
        <w:rPr>
          <w:rFonts w:ascii="Calibri" w:hAnsi="Calibri" w:cs="Calibri"/>
          <w:b/>
          <w:bCs/>
          <w:sz w:val="20"/>
          <w:szCs w:val="20"/>
        </w:rPr>
        <w:t xml:space="preserve"> for the Month of November 2020</w:t>
      </w:r>
    </w:p>
    <w:p w14:paraId="092DAF65" w14:textId="77777777" w:rsidR="001C5772" w:rsidRPr="00BE736B" w:rsidRDefault="001C5772" w:rsidP="001C5772">
      <w:pPr>
        <w:spacing w:after="0" w:line="240" w:lineRule="auto"/>
        <w:ind w:left="360" w:right="720"/>
        <w:rPr>
          <w:rFonts w:ascii="Calibri" w:hAnsi="Calibri" w:cs="Calibri"/>
          <w:sz w:val="20"/>
          <w:szCs w:val="20"/>
        </w:rPr>
      </w:pPr>
    </w:p>
    <w:p w14:paraId="38AE71B6" w14:textId="77777777" w:rsidR="001C5772" w:rsidRPr="00BE736B" w:rsidRDefault="001C5772" w:rsidP="001C5772">
      <w:pPr>
        <w:spacing w:after="0" w:line="240" w:lineRule="auto"/>
        <w:ind w:right="720"/>
        <w:rPr>
          <w:rFonts w:ascii="Calibri" w:hAnsi="Calibri" w:cs="Calibri"/>
          <w:sz w:val="20"/>
          <w:szCs w:val="20"/>
        </w:rPr>
      </w:pPr>
      <w:r w:rsidRPr="00BE736B">
        <w:rPr>
          <w:rFonts w:ascii="Calibri" w:hAnsi="Calibri" w:cs="Calibri"/>
          <w:sz w:val="20"/>
          <w:szCs w:val="20"/>
        </w:rPr>
        <w:t xml:space="preserve">While the Sugar Regulatory (Administration)-issued weekly Price of Sugar </w:t>
      </w:r>
      <w:proofErr w:type="spellStart"/>
      <w:r w:rsidRPr="00BE736B">
        <w:rPr>
          <w:rFonts w:ascii="Calibri" w:hAnsi="Calibri" w:cs="Calibri"/>
          <w:sz w:val="20"/>
          <w:szCs w:val="20"/>
        </w:rPr>
        <w:t>Millsite</w:t>
      </w:r>
      <w:proofErr w:type="spellEnd"/>
      <w:r w:rsidRPr="00BE736B">
        <w:rPr>
          <w:rFonts w:ascii="Calibri" w:hAnsi="Calibri" w:cs="Calibri"/>
          <w:sz w:val="20"/>
          <w:szCs w:val="20"/>
        </w:rPr>
        <w:t xml:space="preserve"> reflects the comparative prices between the previous and current years, the consolidated schedule (Annex “A”) on the weekly issuance of Operations Memoranda (OM), more particularly OM Nos. 79-2020, 81-2020, 88-2020 and 90-2020 contains only that of the current year for purposes of imposing the one percent (1%) expanded withholding tax on sugar prescribed under the provisions of RR No. 2-98, as amended by RR No. 11-2014.</w:t>
      </w:r>
    </w:p>
    <w:p w14:paraId="174D198D" w14:textId="77777777" w:rsidR="001C5772" w:rsidRPr="00BE736B" w:rsidRDefault="001C5772" w:rsidP="001C5772">
      <w:pPr>
        <w:spacing w:after="0" w:line="240" w:lineRule="auto"/>
        <w:ind w:right="720"/>
        <w:rPr>
          <w:rFonts w:ascii="Calibri" w:hAnsi="Calibri" w:cs="Calibri"/>
          <w:b/>
          <w:bCs/>
          <w:sz w:val="20"/>
          <w:szCs w:val="20"/>
        </w:rPr>
      </w:pPr>
    </w:p>
    <w:p w14:paraId="03DA062D" w14:textId="77777777" w:rsidR="001C5772" w:rsidRPr="00BE736B" w:rsidRDefault="001C5772" w:rsidP="001C5772">
      <w:pPr>
        <w:spacing w:after="0" w:line="240" w:lineRule="auto"/>
        <w:ind w:right="720"/>
        <w:rPr>
          <w:rFonts w:ascii="Calibri" w:hAnsi="Calibri" w:cs="Calibri"/>
          <w:b/>
          <w:bCs/>
          <w:sz w:val="20"/>
          <w:szCs w:val="20"/>
        </w:rPr>
      </w:pPr>
      <w:r w:rsidRPr="00BE736B">
        <w:rPr>
          <w:rFonts w:ascii="Calibri" w:hAnsi="Calibri" w:cs="Calibri"/>
          <w:b/>
          <w:bCs/>
          <w:sz w:val="20"/>
          <w:szCs w:val="20"/>
        </w:rPr>
        <w:t>REVENUE MEMORANDUM CIRCULAR 2-2021 (issued on January 8, 2021) Guidelines Relative to the Postponement of Effectivity of Enlisting/Delisting of Large Taxpayers</w:t>
      </w:r>
    </w:p>
    <w:p w14:paraId="5E2B988E" w14:textId="77777777" w:rsidR="001C5772" w:rsidRPr="00BE736B" w:rsidRDefault="001C5772" w:rsidP="001C5772">
      <w:pPr>
        <w:spacing w:after="0" w:line="240" w:lineRule="auto"/>
        <w:ind w:right="720"/>
        <w:rPr>
          <w:rFonts w:ascii="Calibri" w:hAnsi="Calibri" w:cs="Calibri"/>
          <w:b/>
          <w:bCs/>
          <w:sz w:val="20"/>
          <w:szCs w:val="20"/>
        </w:rPr>
      </w:pPr>
    </w:p>
    <w:p w14:paraId="49885FDE" w14:textId="77777777" w:rsidR="001C5772" w:rsidRPr="00BE736B" w:rsidRDefault="001C5772" w:rsidP="001C5772">
      <w:pPr>
        <w:pStyle w:val="ListParagraph"/>
        <w:spacing w:after="0" w:line="240" w:lineRule="auto"/>
        <w:ind w:left="360" w:right="720"/>
        <w:rPr>
          <w:rFonts w:ascii="Calibri" w:hAnsi="Calibri" w:cs="Calibri"/>
          <w:sz w:val="20"/>
          <w:szCs w:val="20"/>
        </w:rPr>
      </w:pPr>
      <w:r w:rsidRPr="00BE736B">
        <w:rPr>
          <w:rFonts w:ascii="Calibri" w:hAnsi="Calibri" w:cs="Calibri"/>
          <w:sz w:val="20"/>
          <w:szCs w:val="20"/>
        </w:rPr>
        <w:t>Bases: RMC No. 112-2020</w:t>
      </w:r>
    </w:p>
    <w:p w14:paraId="0FD2B127" w14:textId="77777777" w:rsidR="001C5772" w:rsidRPr="00BE736B" w:rsidRDefault="001C5772" w:rsidP="001C5772">
      <w:pPr>
        <w:pStyle w:val="ListParagraph"/>
        <w:numPr>
          <w:ilvl w:val="0"/>
          <w:numId w:val="7"/>
        </w:numPr>
        <w:spacing w:after="0" w:line="240" w:lineRule="auto"/>
        <w:ind w:right="720"/>
        <w:rPr>
          <w:rFonts w:ascii="Calibri" w:hAnsi="Calibri" w:cs="Calibri"/>
          <w:sz w:val="20"/>
          <w:szCs w:val="20"/>
        </w:rPr>
      </w:pPr>
      <w:r w:rsidRPr="00BE736B">
        <w:rPr>
          <w:rFonts w:ascii="Calibri" w:hAnsi="Calibri" w:cs="Calibri"/>
          <w:sz w:val="20"/>
          <w:szCs w:val="20"/>
        </w:rPr>
        <w:t>The transactions of affected enlisted taxpayers shall remain to be handled by the RDO where they are registered prior to July 1, 2020.</w:t>
      </w:r>
    </w:p>
    <w:p w14:paraId="20E2CF0E" w14:textId="77777777" w:rsidR="001C5772" w:rsidRPr="00BE736B" w:rsidRDefault="001C5772" w:rsidP="001C5772">
      <w:pPr>
        <w:pStyle w:val="ListParagraph"/>
        <w:numPr>
          <w:ilvl w:val="0"/>
          <w:numId w:val="7"/>
        </w:numPr>
        <w:spacing w:after="0" w:line="240" w:lineRule="auto"/>
        <w:ind w:right="720"/>
        <w:rPr>
          <w:rFonts w:ascii="Calibri" w:hAnsi="Calibri" w:cs="Calibri"/>
          <w:sz w:val="20"/>
          <w:szCs w:val="20"/>
        </w:rPr>
      </w:pPr>
      <w:r w:rsidRPr="00BE736B">
        <w:rPr>
          <w:rFonts w:ascii="Calibri" w:hAnsi="Calibri" w:cs="Calibri"/>
          <w:sz w:val="20"/>
          <w:szCs w:val="20"/>
        </w:rPr>
        <w:t>The transactions of delisted taxpayers will now be handled by the RDO having jurisdiction over the said taxpayers.</w:t>
      </w:r>
    </w:p>
    <w:p w14:paraId="382E142B" w14:textId="77777777" w:rsidR="001C5772" w:rsidRPr="00BE736B" w:rsidRDefault="001C5772" w:rsidP="001C5772">
      <w:pPr>
        <w:pStyle w:val="ListParagraph"/>
        <w:ind w:left="1080" w:right="720"/>
        <w:rPr>
          <w:rFonts w:ascii="Calibri" w:hAnsi="Calibri" w:cs="Calibri"/>
          <w:color w:val="0070C0"/>
          <w:sz w:val="20"/>
          <w:szCs w:val="20"/>
        </w:rPr>
      </w:pPr>
    </w:p>
    <w:p w14:paraId="5AC8856B" w14:textId="77777777" w:rsidR="001C5772" w:rsidRPr="00BE736B" w:rsidRDefault="001C5772" w:rsidP="001C5772">
      <w:pPr>
        <w:ind w:right="720"/>
        <w:rPr>
          <w:rFonts w:ascii="Calibri" w:hAnsi="Calibri" w:cs="Calibri"/>
          <w:color w:val="000000" w:themeColor="text1"/>
          <w:sz w:val="20"/>
          <w:szCs w:val="20"/>
        </w:rPr>
      </w:pPr>
      <w:r w:rsidRPr="00BE736B">
        <w:rPr>
          <w:rFonts w:ascii="Calibri" w:hAnsi="Calibri" w:cs="Calibri"/>
          <w:b/>
          <w:bCs/>
          <w:color w:val="000000" w:themeColor="text1"/>
          <w:sz w:val="20"/>
          <w:szCs w:val="20"/>
        </w:rPr>
        <w:t>RMC No. 4-2021 (issued on January 8, 2021) Guidelines in the Filing of Tax Returns Including the Required Attachments and Payment of Internal Revenue Taxes</w:t>
      </w:r>
    </w:p>
    <w:p w14:paraId="59B344DE" w14:textId="77777777" w:rsidR="001C5772" w:rsidRPr="00BE736B" w:rsidRDefault="001C5772" w:rsidP="001C5772">
      <w:pPr>
        <w:pStyle w:val="ListParagraph"/>
        <w:rPr>
          <w:rFonts w:ascii="Calibri" w:hAnsi="Calibri" w:cs="Calibri"/>
          <w:b/>
          <w:bCs/>
          <w:color w:val="000000" w:themeColor="text1"/>
          <w:sz w:val="20"/>
          <w:szCs w:val="20"/>
        </w:rPr>
      </w:pPr>
    </w:p>
    <w:p w14:paraId="4D65E12C" w14:textId="77777777" w:rsidR="001C5772" w:rsidRPr="00BE736B" w:rsidRDefault="001C5772" w:rsidP="001C5772">
      <w:pPr>
        <w:pStyle w:val="ListParagraph"/>
        <w:numPr>
          <w:ilvl w:val="0"/>
          <w:numId w:val="7"/>
        </w:numPr>
        <w:ind w:right="72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 xml:space="preserve">Taxpayers required to use or voluntarily opt to use the </w:t>
      </w:r>
      <w:proofErr w:type="spellStart"/>
      <w:r w:rsidRPr="00BE736B">
        <w:rPr>
          <w:rFonts w:ascii="Calibri" w:eastAsia="Times New Roman" w:hAnsi="Calibri" w:cs="Calibri"/>
          <w:color w:val="000000" w:themeColor="text1"/>
          <w:sz w:val="20"/>
          <w:szCs w:val="20"/>
        </w:rPr>
        <w:t>eBIR</w:t>
      </w:r>
      <w:proofErr w:type="spellEnd"/>
      <w:r w:rsidRPr="00BE736B">
        <w:rPr>
          <w:rFonts w:ascii="Calibri" w:eastAsia="Times New Roman" w:hAnsi="Calibri" w:cs="Calibri"/>
          <w:color w:val="000000" w:themeColor="text1"/>
          <w:sz w:val="20"/>
          <w:szCs w:val="20"/>
        </w:rPr>
        <w:t xml:space="preserve"> Forms shall file the tax returns electronically and pay the corresponding taxes due thereon through Authorized Agent Banks (AABs), Revenue Collection Officers (RCO) under the RDO where the taxpayer is registered through the Mobile Revenue Collection Officer System (MRCOS) in areas where there are no AABs, or other Electronic Payment modes allowed. </w:t>
      </w:r>
    </w:p>
    <w:p w14:paraId="587C3DBC" w14:textId="77777777" w:rsidR="001C5772" w:rsidRPr="00BE736B" w:rsidRDefault="001C5772" w:rsidP="001C5772">
      <w:pPr>
        <w:pStyle w:val="ListParagraph"/>
        <w:numPr>
          <w:ilvl w:val="1"/>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hAnsi="Calibri" w:cs="Calibri"/>
          <w:color w:val="000000" w:themeColor="text1"/>
          <w:sz w:val="20"/>
          <w:szCs w:val="20"/>
        </w:rPr>
        <w:t>Taxpayers who shall avail of the electronic payment (</w:t>
      </w:r>
      <w:proofErr w:type="spellStart"/>
      <w:r w:rsidRPr="00BE736B">
        <w:rPr>
          <w:rFonts w:ascii="Calibri" w:hAnsi="Calibri" w:cs="Calibri"/>
          <w:color w:val="000000" w:themeColor="text1"/>
          <w:sz w:val="20"/>
          <w:szCs w:val="20"/>
        </w:rPr>
        <w:t>ePay</w:t>
      </w:r>
      <w:proofErr w:type="spellEnd"/>
      <w:r w:rsidRPr="00BE736B">
        <w:rPr>
          <w:rFonts w:ascii="Calibri" w:hAnsi="Calibri" w:cs="Calibri"/>
          <w:color w:val="000000" w:themeColor="text1"/>
          <w:sz w:val="20"/>
          <w:szCs w:val="20"/>
        </w:rPr>
        <w:t xml:space="preserve">) may access the allowed </w:t>
      </w:r>
      <w:proofErr w:type="spellStart"/>
      <w:r w:rsidRPr="00BE736B">
        <w:rPr>
          <w:rFonts w:ascii="Calibri" w:hAnsi="Calibri" w:cs="Calibri"/>
          <w:color w:val="000000" w:themeColor="text1"/>
          <w:sz w:val="20"/>
          <w:szCs w:val="20"/>
        </w:rPr>
        <w:t>ePay</w:t>
      </w:r>
      <w:proofErr w:type="spellEnd"/>
      <w:r w:rsidRPr="00BE736B">
        <w:rPr>
          <w:rFonts w:ascii="Calibri" w:hAnsi="Calibri" w:cs="Calibri"/>
          <w:color w:val="000000" w:themeColor="text1"/>
          <w:sz w:val="20"/>
          <w:szCs w:val="20"/>
        </w:rPr>
        <w:t xml:space="preserve"> facilities by accessing the BIR website.</w:t>
      </w:r>
    </w:p>
    <w:p w14:paraId="31592C97" w14:textId="77777777" w:rsidR="001C5772" w:rsidRPr="00BE736B" w:rsidRDefault="001C5772" w:rsidP="001C5772">
      <w:pPr>
        <w:pStyle w:val="ListParagraph"/>
        <w:numPr>
          <w:ilvl w:val="1"/>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hAnsi="Calibri" w:cs="Calibri"/>
          <w:color w:val="000000" w:themeColor="text1"/>
          <w:sz w:val="20"/>
          <w:szCs w:val="20"/>
        </w:rPr>
        <w:t>Taxpayers who will avail of Mobile Payment (</w:t>
      </w:r>
      <w:proofErr w:type="spellStart"/>
      <w:r w:rsidRPr="00BE736B">
        <w:rPr>
          <w:rFonts w:ascii="Calibri" w:hAnsi="Calibri" w:cs="Calibri"/>
          <w:color w:val="000000" w:themeColor="text1"/>
          <w:sz w:val="20"/>
          <w:szCs w:val="20"/>
        </w:rPr>
        <w:t>GCash</w:t>
      </w:r>
      <w:proofErr w:type="spellEnd"/>
      <w:r w:rsidRPr="00BE736B">
        <w:rPr>
          <w:rFonts w:ascii="Calibri" w:hAnsi="Calibri" w:cs="Calibri"/>
          <w:color w:val="000000" w:themeColor="text1"/>
          <w:sz w:val="20"/>
          <w:szCs w:val="20"/>
        </w:rPr>
        <w:t xml:space="preserve"> or </w:t>
      </w:r>
      <w:proofErr w:type="spellStart"/>
      <w:r w:rsidRPr="00BE736B">
        <w:rPr>
          <w:rFonts w:ascii="Calibri" w:hAnsi="Calibri" w:cs="Calibri"/>
          <w:color w:val="000000" w:themeColor="text1"/>
          <w:sz w:val="20"/>
          <w:szCs w:val="20"/>
        </w:rPr>
        <w:t>PayMaya</w:t>
      </w:r>
      <w:proofErr w:type="spellEnd"/>
      <w:r w:rsidRPr="00BE736B">
        <w:rPr>
          <w:rFonts w:ascii="Calibri" w:hAnsi="Calibri" w:cs="Calibri"/>
          <w:color w:val="000000" w:themeColor="text1"/>
          <w:sz w:val="20"/>
          <w:szCs w:val="20"/>
        </w:rPr>
        <w:t xml:space="preserve">) shall download and install the </w:t>
      </w:r>
      <w:proofErr w:type="spellStart"/>
      <w:r w:rsidRPr="00BE736B">
        <w:rPr>
          <w:rFonts w:ascii="Calibri" w:hAnsi="Calibri" w:cs="Calibri"/>
          <w:color w:val="000000" w:themeColor="text1"/>
          <w:sz w:val="20"/>
          <w:szCs w:val="20"/>
        </w:rPr>
        <w:t>GCash</w:t>
      </w:r>
      <w:proofErr w:type="spellEnd"/>
      <w:r w:rsidRPr="00BE736B">
        <w:rPr>
          <w:rFonts w:ascii="Calibri" w:hAnsi="Calibri" w:cs="Calibri"/>
          <w:color w:val="000000" w:themeColor="text1"/>
          <w:sz w:val="20"/>
          <w:szCs w:val="20"/>
        </w:rPr>
        <w:t xml:space="preserve"> or </w:t>
      </w:r>
      <w:proofErr w:type="spellStart"/>
      <w:r w:rsidRPr="00BE736B">
        <w:rPr>
          <w:rFonts w:ascii="Calibri" w:hAnsi="Calibri" w:cs="Calibri"/>
          <w:color w:val="000000" w:themeColor="text1"/>
          <w:sz w:val="20"/>
          <w:szCs w:val="20"/>
        </w:rPr>
        <w:t>PayMaya</w:t>
      </w:r>
      <w:proofErr w:type="spellEnd"/>
      <w:r w:rsidRPr="00BE736B">
        <w:rPr>
          <w:rFonts w:ascii="Calibri" w:hAnsi="Calibri" w:cs="Calibri"/>
          <w:color w:val="000000" w:themeColor="text1"/>
          <w:sz w:val="20"/>
          <w:szCs w:val="20"/>
        </w:rPr>
        <w:t xml:space="preserve"> mobile application from the Google Play Store or Apple App Store or Huawei </w:t>
      </w:r>
      <w:proofErr w:type="spellStart"/>
      <w:r w:rsidRPr="00BE736B">
        <w:rPr>
          <w:rFonts w:ascii="Calibri" w:hAnsi="Calibri" w:cs="Calibri"/>
          <w:color w:val="000000" w:themeColor="text1"/>
          <w:sz w:val="20"/>
          <w:szCs w:val="20"/>
        </w:rPr>
        <w:t>AppGallery</w:t>
      </w:r>
      <w:proofErr w:type="spellEnd"/>
      <w:r w:rsidRPr="00BE736B">
        <w:rPr>
          <w:rFonts w:ascii="Calibri" w:hAnsi="Calibri" w:cs="Calibri"/>
          <w:color w:val="000000" w:themeColor="text1"/>
          <w:sz w:val="20"/>
          <w:szCs w:val="20"/>
        </w:rPr>
        <w:t>.</w:t>
      </w:r>
    </w:p>
    <w:p w14:paraId="451067C9" w14:textId="77777777" w:rsidR="001C5772" w:rsidRPr="00BE736B" w:rsidRDefault="001C5772" w:rsidP="001C5772">
      <w:pPr>
        <w:pStyle w:val="ListParagraph"/>
        <w:numPr>
          <w:ilvl w:val="1"/>
          <w:numId w:val="7"/>
        </w:numPr>
        <w:spacing w:after="0" w:line="240" w:lineRule="auto"/>
        <w:contextualSpacing w:val="0"/>
        <w:rPr>
          <w:rFonts w:ascii="Calibri" w:hAnsi="Calibri" w:cs="Calibri"/>
          <w:color w:val="000000" w:themeColor="text1"/>
          <w:sz w:val="20"/>
          <w:szCs w:val="20"/>
        </w:rPr>
      </w:pPr>
      <w:r w:rsidRPr="00BE736B">
        <w:rPr>
          <w:rFonts w:ascii="Calibri" w:hAnsi="Calibri" w:cs="Calibri"/>
          <w:color w:val="000000" w:themeColor="text1"/>
          <w:sz w:val="20"/>
          <w:szCs w:val="20"/>
        </w:rPr>
        <w:t>Taxpayers shall bear any convenience fee that may be charged by banks and/or mobile companies for using their online payment facilities.</w:t>
      </w:r>
    </w:p>
    <w:p w14:paraId="216A5613" w14:textId="77777777" w:rsidR="001C5772" w:rsidRPr="00BE736B" w:rsidRDefault="001C5772" w:rsidP="001C5772">
      <w:pPr>
        <w:pStyle w:val="ListParagraph"/>
        <w:numPr>
          <w:ilvl w:val="0"/>
          <w:numId w:val="7"/>
        </w:numPr>
        <w:ind w:right="72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 xml:space="preserve">Taxpayers required to use or voluntarily opt to enroll in the </w:t>
      </w:r>
      <w:proofErr w:type="spellStart"/>
      <w:r w:rsidRPr="00BE736B">
        <w:rPr>
          <w:rFonts w:ascii="Calibri" w:eastAsia="Times New Roman" w:hAnsi="Calibri" w:cs="Calibri"/>
          <w:color w:val="000000" w:themeColor="text1"/>
          <w:sz w:val="20"/>
          <w:szCs w:val="20"/>
        </w:rPr>
        <w:t>eFPS</w:t>
      </w:r>
      <w:proofErr w:type="spellEnd"/>
      <w:r w:rsidRPr="00BE736B">
        <w:rPr>
          <w:rFonts w:ascii="Calibri" w:eastAsia="Times New Roman" w:hAnsi="Calibri" w:cs="Calibri"/>
          <w:color w:val="000000" w:themeColor="text1"/>
          <w:sz w:val="20"/>
          <w:szCs w:val="20"/>
        </w:rPr>
        <w:t xml:space="preserve"> shall file the return electronically and pay the corresponding taxes due thereon through the </w:t>
      </w:r>
      <w:proofErr w:type="spellStart"/>
      <w:r w:rsidRPr="00BE736B">
        <w:rPr>
          <w:rFonts w:ascii="Calibri" w:eastAsia="Times New Roman" w:hAnsi="Calibri" w:cs="Calibri"/>
          <w:color w:val="000000" w:themeColor="text1"/>
          <w:sz w:val="20"/>
          <w:szCs w:val="20"/>
        </w:rPr>
        <w:t>eFPS</w:t>
      </w:r>
      <w:proofErr w:type="spellEnd"/>
      <w:r w:rsidRPr="00BE736B">
        <w:rPr>
          <w:rFonts w:ascii="Calibri" w:eastAsia="Times New Roman" w:hAnsi="Calibri" w:cs="Calibri"/>
          <w:color w:val="000000" w:themeColor="text1"/>
          <w:sz w:val="20"/>
          <w:szCs w:val="20"/>
        </w:rPr>
        <w:t>-AABs where they are enrolled.</w:t>
      </w:r>
    </w:p>
    <w:p w14:paraId="0774D865" w14:textId="77777777" w:rsidR="001C5772" w:rsidRPr="00BE736B" w:rsidRDefault="001C5772" w:rsidP="001C5772">
      <w:pPr>
        <w:pStyle w:val="ListParagraph"/>
        <w:numPr>
          <w:ilvl w:val="1"/>
          <w:numId w:val="7"/>
        </w:numPr>
        <w:spacing w:after="0" w:line="240" w:lineRule="auto"/>
        <w:contextualSpacing w:val="0"/>
        <w:rPr>
          <w:rFonts w:ascii="Calibri" w:hAnsi="Calibri" w:cs="Calibri"/>
          <w:color w:val="000000" w:themeColor="text1"/>
          <w:sz w:val="20"/>
          <w:szCs w:val="20"/>
        </w:rPr>
      </w:pPr>
      <w:r w:rsidRPr="00BE736B">
        <w:rPr>
          <w:rFonts w:ascii="Calibri" w:hAnsi="Calibri" w:cs="Calibri"/>
          <w:color w:val="000000" w:themeColor="text1"/>
          <w:sz w:val="20"/>
          <w:szCs w:val="20"/>
        </w:rPr>
        <w:t xml:space="preserve">Taxpayers who are not yet enrolled in </w:t>
      </w:r>
      <w:proofErr w:type="spellStart"/>
      <w:r w:rsidRPr="00BE736B">
        <w:rPr>
          <w:rFonts w:ascii="Calibri" w:hAnsi="Calibri" w:cs="Calibri"/>
          <w:color w:val="000000" w:themeColor="text1"/>
          <w:sz w:val="20"/>
          <w:szCs w:val="20"/>
        </w:rPr>
        <w:t>eFPS</w:t>
      </w:r>
      <w:proofErr w:type="spellEnd"/>
      <w:r w:rsidRPr="00BE736B">
        <w:rPr>
          <w:rFonts w:ascii="Calibri" w:hAnsi="Calibri" w:cs="Calibri"/>
          <w:color w:val="000000" w:themeColor="text1"/>
          <w:sz w:val="20"/>
          <w:szCs w:val="20"/>
        </w:rPr>
        <w:t xml:space="preserve"> and have not yet enrolled in any </w:t>
      </w:r>
      <w:proofErr w:type="spellStart"/>
      <w:r w:rsidRPr="00BE736B">
        <w:rPr>
          <w:rFonts w:ascii="Calibri" w:hAnsi="Calibri" w:cs="Calibri"/>
          <w:color w:val="000000" w:themeColor="text1"/>
          <w:sz w:val="20"/>
          <w:szCs w:val="20"/>
        </w:rPr>
        <w:t>eFPS</w:t>
      </w:r>
      <w:proofErr w:type="spellEnd"/>
      <w:r w:rsidRPr="00BE736B">
        <w:rPr>
          <w:rFonts w:ascii="Calibri" w:hAnsi="Calibri" w:cs="Calibri"/>
          <w:color w:val="000000" w:themeColor="text1"/>
          <w:sz w:val="20"/>
          <w:szCs w:val="20"/>
        </w:rPr>
        <w:t xml:space="preserve">-AAB shall use the </w:t>
      </w:r>
      <w:proofErr w:type="spellStart"/>
      <w:r w:rsidRPr="00BE736B">
        <w:rPr>
          <w:rFonts w:ascii="Calibri" w:hAnsi="Calibri" w:cs="Calibri"/>
          <w:color w:val="000000" w:themeColor="text1"/>
          <w:sz w:val="20"/>
          <w:szCs w:val="20"/>
        </w:rPr>
        <w:t>eBIRForms</w:t>
      </w:r>
      <w:proofErr w:type="spellEnd"/>
      <w:r w:rsidRPr="00BE736B">
        <w:rPr>
          <w:rFonts w:ascii="Calibri" w:hAnsi="Calibri" w:cs="Calibri"/>
          <w:color w:val="000000" w:themeColor="text1"/>
          <w:sz w:val="20"/>
          <w:szCs w:val="20"/>
        </w:rPr>
        <w:t xml:space="preserve"> for e-filing and pay the corresponding taxes through any payment facilities available.</w:t>
      </w:r>
    </w:p>
    <w:p w14:paraId="289E44BA" w14:textId="77777777" w:rsidR="001C5772" w:rsidRPr="00BE736B" w:rsidRDefault="001C5772" w:rsidP="001C5772">
      <w:pPr>
        <w:pStyle w:val="ListParagraph"/>
        <w:numPr>
          <w:ilvl w:val="1"/>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hAnsi="Calibri" w:cs="Calibri"/>
          <w:color w:val="000000" w:themeColor="text1"/>
          <w:sz w:val="20"/>
          <w:szCs w:val="20"/>
        </w:rPr>
        <w:t xml:space="preserve">In case of newly created tax returns that are not yet available in the </w:t>
      </w:r>
      <w:proofErr w:type="spellStart"/>
      <w:r w:rsidRPr="00BE736B">
        <w:rPr>
          <w:rFonts w:ascii="Calibri" w:hAnsi="Calibri" w:cs="Calibri"/>
          <w:color w:val="000000" w:themeColor="text1"/>
          <w:sz w:val="20"/>
          <w:szCs w:val="20"/>
        </w:rPr>
        <w:t>eFPS</w:t>
      </w:r>
      <w:proofErr w:type="spellEnd"/>
      <w:r w:rsidRPr="00BE736B">
        <w:rPr>
          <w:rFonts w:ascii="Calibri" w:hAnsi="Calibri" w:cs="Calibri"/>
          <w:color w:val="000000" w:themeColor="text1"/>
          <w:sz w:val="20"/>
          <w:szCs w:val="20"/>
        </w:rPr>
        <w:t xml:space="preserve"> facility but already available in the </w:t>
      </w:r>
      <w:proofErr w:type="spellStart"/>
      <w:r w:rsidRPr="00BE736B">
        <w:rPr>
          <w:rFonts w:ascii="Calibri" w:hAnsi="Calibri" w:cs="Calibri"/>
          <w:color w:val="000000" w:themeColor="text1"/>
          <w:sz w:val="20"/>
          <w:szCs w:val="20"/>
        </w:rPr>
        <w:t>eBIR</w:t>
      </w:r>
      <w:proofErr w:type="spellEnd"/>
      <w:r w:rsidRPr="00BE736B">
        <w:rPr>
          <w:rFonts w:ascii="Calibri" w:hAnsi="Calibri" w:cs="Calibri"/>
          <w:color w:val="000000" w:themeColor="text1"/>
          <w:sz w:val="20"/>
          <w:szCs w:val="20"/>
        </w:rPr>
        <w:t xml:space="preserve"> Forms, taxpayers shall file the said returns using the </w:t>
      </w:r>
      <w:proofErr w:type="spellStart"/>
      <w:r w:rsidRPr="00BE736B">
        <w:rPr>
          <w:rFonts w:ascii="Calibri" w:hAnsi="Calibri" w:cs="Calibri"/>
          <w:color w:val="000000" w:themeColor="text1"/>
          <w:sz w:val="20"/>
          <w:szCs w:val="20"/>
        </w:rPr>
        <w:t>eBIR</w:t>
      </w:r>
      <w:proofErr w:type="spellEnd"/>
      <w:r w:rsidRPr="00BE736B">
        <w:rPr>
          <w:rFonts w:ascii="Calibri" w:hAnsi="Calibri" w:cs="Calibri"/>
          <w:color w:val="000000" w:themeColor="text1"/>
          <w:sz w:val="20"/>
          <w:szCs w:val="20"/>
        </w:rPr>
        <w:t xml:space="preserve"> Forms and pay through any payment channel enumerated in the first bullet.</w:t>
      </w:r>
    </w:p>
    <w:p w14:paraId="5ABF6996" w14:textId="77777777" w:rsidR="001C5772" w:rsidRPr="00BE736B" w:rsidRDefault="001C5772" w:rsidP="001C5772">
      <w:pPr>
        <w:pStyle w:val="ListParagraph"/>
        <w:numPr>
          <w:ilvl w:val="0"/>
          <w:numId w:val="7"/>
        </w:numPr>
        <w:ind w:right="720"/>
        <w:rPr>
          <w:rFonts w:ascii="Calibri" w:eastAsia="Times New Roman" w:hAnsi="Calibri" w:cs="Calibri"/>
          <w:color w:val="000000" w:themeColor="text1"/>
          <w:sz w:val="20"/>
          <w:szCs w:val="20"/>
        </w:rPr>
      </w:pPr>
      <w:r w:rsidRPr="00BE736B">
        <w:rPr>
          <w:rFonts w:ascii="Calibri" w:hAnsi="Calibri" w:cs="Calibri"/>
          <w:color w:val="000000" w:themeColor="text1"/>
          <w:sz w:val="20"/>
          <w:szCs w:val="20"/>
        </w:rPr>
        <w:t xml:space="preserve">Taxpayers who are otherwise not required to file electronically (either through the </w:t>
      </w:r>
      <w:proofErr w:type="spellStart"/>
      <w:r w:rsidRPr="00BE736B">
        <w:rPr>
          <w:rFonts w:ascii="Calibri" w:hAnsi="Calibri" w:cs="Calibri"/>
          <w:color w:val="000000" w:themeColor="text1"/>
          <w:sz w:val="20"/>
          <w:szCs w:val="20"/>
        </w:rPr>
        <w:t>eBIR</w:t>
      </w:r>
      <w:proofErr w:type="spellEnd"/>
      <w:r w:rsidRPr="00BE736B">
        <w:rPr>
          <w:rFonts w:ascii="Calibri" w:hAnsi="Calibri" w:cs="Calibri"/>
          <w:color w:val="000000" w:themeColor="text1"/>
          <w:sz w:val="20"/>
          <w:szCs w:val="20"/>
        </w:rPr>
        <w:t xml:space="preserve"> Forms or the </w:t>
      </w:r>
      <w:proofErr w:type="spellStart"/>
      <w:r w:rsidRPr="00BE736B">
        <w:rPr>
          <w:rFonts w:ascii="Calibri" w:hAnsi="Calibri" w:cs="Calibri"/>
          <w:color w:val="000000" w:themeColor="text1"/>
          <w:sz w:val="20"/>
          <w:szCs w:val="20"/>
        </w:rPr>
        <w:t>eFPS</w:t>
      </w:r>
      <w:proofErr w:type="spellEnd"/>
      <w:r w:rsidRPr="00BE736B">
        <w:rPr>
          <w:rFonts w:ascii="Calibri" w:hAnsi="Calibri" w:cs="Calibri"/>
          <w:color w:val="000000" w:themeColor="text1"/>
          <w:sz w:val="20"/>
          <w:szCs w:val="20"/>
        </w:rPr>
        <w:t>), nor voluntarily opt to do so, shall use the electronic or computer-</w:t>
      </w:r>
      <w:r w:rsidRPr="00BE736B">
        <w:rPr>
          <w:rFonts w:ascii="Calibri" w:hAnsi="Calibri" w:cs="Calibri"/>
          <w:color w:val="000000" w:themeColor="text1"/>
          <w:sz w:val="20"/>
          <w:szCs w:val="20"/>
        </w:rPr>
        <w:lastRenderedPageBreak/>
        <w:t xml:space="preserve">generated returns or photocopied returns in its original format and in Folio/Legal size bond paper. The corresponding taxes due thereon shall be paid through the </w:t>
      </w:r>
      <w:r w:rsidRPr="00BE736B">
        <w:rPr>
          <w:rFonts w:ascii="Calibri" w:eastAsia="Times New Roman" w:hAnsi="Calibri" w:cs="Calibri"/>
          <w:color w:val="000000" w:themeColor="text1"/>
          <w:sz w:val="20"/>
          <w:szCs w:val="20"/>
        </w:rPr>
        <w:t>AABs under the jurisdiction of the concerned RDO where the taxpayer is registered or RCOs under the RDO where the taxpayer is registered through the MRCOS in areas where there are no AABs.</w:t>
      </w:r>
    </w:p>
    <w:p w14:paraId="7C428D69" w14:textId="77777777" w:rsidR="001C5772" w:rsidRPr="00BE736B" w:rsidRDefault="001C5772" w:rsidP="001C5772">
      <w:pPr>
        <w:pStyle w:val="ListParagraph"/>
        <w:numPr>
          <w:ilvl w:val="0"/>
          <w:numId w:val="7"/>
        </w:numPr>
        <w:ind w:right="720"/>
        <w:rPr>
          <w:rFonts w:ascii="Calibri" w:eastAsia="Times New Roman" w:hAnsi="Calibri" w:cs="Calibri"/>
          <w:color w:val="000000" w:themeColor="text1"/>
          <w:sz w:val="20"/>
          <w:szCs w:val="20"/>
        </w:rPr>
      </w:pPr>
      <w:r w:rsidRPr="00BE736B">
        <w:rPr>
          <w:rFonts w:ascii="Calibri" w:hAnsi="Calibri" w:cs="Calibri"/>
          <w:color w:val="000000" w:themeColor="text1"/>
          <w:sz w:val="20"/>
          <w:szCs w:val="20"/>
        </w:rPr>
        <w:t xml:space="preserve">Taxpayers who are not mandated to use the </w:t>
      </w:r>
      <w:proofErr w:type="spellStart"/>
      <w:r w:rsidRPr="00BE736B">
        <w:rPr>
          <w:rFonts w:ascii="Calibri" w:hAnsi="Calibri" w:cs="Calibri"/>
          <w:color w:val="000000" w:themeColor="text1"/>
          <w:sz w:val="20"/>
          <w:szCs w:val="20"/>
        </w:rPr>
        <w:t>eFPS</w:t>
      </w:r>
      <w:proofErr w:type="spellEnd"/>
      <w:r w:rsidRPr="00BE736B">
        <w:rPr>
          <w:rFonts w:ascii="Calibri" w:hAnsi="Calibri" w:cs="Calibri"/>
          <w:color w:val="000000" w:themeColor="text1"/>
          <w:sz w:val="20"/>
          <w:szCs w:val="20"/>
        </w:rPr>
        <w:t xml:space="preserve"> and </w:t>
      </w:r>
      <w:proofErr w:type="spellStart"/>
      <w:r w:rsidRPr="00BE736B">
        <w:rPr>
          <w:rFonts w:ascii="Calibri" w:hAnsi="Calibri" w:cs="Calibri"/>
          <w:color w:val="000000" w:themeColor="text1"/>
          <w:sz w:val="20"/>
          <w:szCs w:val="20"/>
        </w:rPr>
        <w:t>eBIR</w:t>
      </w:r>
      <w:proofErr w:type="spellEnd"/>
      <w:r w:rsidRPr="00BE736B">
        <w:rPr>
          <w:rFonts w:ascii="Calibri" w:hAnsi="Calibri" w:cs="Calibri"/>
          <w:color w:val="000000" w:themeColor="text1"/>
          <w:sz w:val="20"/>
          <w:szCs w:val="20"/>
        </w:rPr>
        <w:t xml:space="preserve"> Forms Facility are encouraged to electronically file their returns through the </w:t>
      </w:r>
      <w:proofErr w:type="spellStart"/>
      <w:r w:rsidRPr="00BE736B">
        <w:rPr>
          <w:rFonts w:ascii="Calibri" w:hAnsi="Calibri" w:cs="Calibri"/>
          <w:color w:val="000000" w:themeColor="text1"/>
          <w:sz w:val="20"/>
          <w:szCs w:val="20"/>
        </w:rPr>
        <w:t>eBIR</w:t>
      </w:r>
      <w:proofErr w:type="spellEnd"/>
      <w:r w:rsidRPr="00BE736B">
        <w:rPr>
          <w:rFonts w:ascii="Calibri" w:hAnsi="Calibri" w:cs="Calibri"/>
          <w:color w:val="000000" w:themeColor="text1"/>
          <w:sz w:val="20"/>
          <w:szCs w:val="20"/>
        </w:rPr>
        <w:t xml:space="preserve"> Forms Facility and pay the corresponding taxes due thereon through any payment channels mentioned in the first bullet.</w:t>
      </w:r>
    </w:p>
    <w:p w14:paraId="2037E0E5" w14:textId="77777777" w:rsidR="001C5772" w:rsidRPr="00BE736B" w:rsidRDefault="001C5772" w:rsidP="001C5772">
      <w:pPr>
        <w:pStyle w:val="ListParagraph"/>
        <w:numPr>
          <w:ilvl w:val="0"/>
          <w:numId w:val="7"/>
        </w:numPr>
        <w:ind w:right="720"/>
        <w:rPr>
          <w:rFonts w:ascii="Calibri" w:eastAsia="Times New Roman" w:hAnsi="Calibri" w:cs="Calibri"/>
          <w:color w:val="000000" w:themeColor="text1"/>
          <w:sz w:val="20"/>
          <w:szCs w:val="20"/>
        </w:rPr>
      </w:pPr>
      <w:r w:rsidRPr="00BE736B">
        <w:rPr>
          <w:rFonts w:ascii="Calibri" w:hAnsi="Calibri" w:cs="Calibri"/>
          <w:color w:val="000000" w:themeColor="text1"/>
          <w:sz w:val="20"/>
          <w:szCs w:val="20"/>
        </w:rPr>
        <w:t xml:space="preserve">For submission of attachments, </w:t>
      </w:r>
      <w:r w:rsidRPr="00BE736B">
        <w:rPr>
          <w:rFonts w:ascii="Calibri" w:eastAsia="Times New Roman" w:hAnsi="Calibri" w:cs="Calibri"/>
          <w:color w:val="000000" w:themeColor="text1"/>
          <w:sz w:val="20"/>
          <w:szCs w:val="20"/>
        </w:rPr>
        <w:t xml:space="preserve">electronically filed and/or paid returns using </w:t>
      </w:r>
      <w:proofErr w:type="spellStart"/>
      <w:r w:rsidRPr="00BE736B">
        <w:rPr>
          <w:rFonts w:ascii="Calibri" w:eastAsia="Times New Roman" w:hAnsi="Calibri" w:cs="Calibri"/>
          <w:color w:val="000000" w:themeColor="text1"/>
          <w:sz w:val="20"/>
          <w:szCs w:val="20"/>
        </w:rPr>
        <w:t>eBIR</w:t>
      </w:r>
      <w:proofErr w:type="spellEnd"/>
      <w:r w:rsidRPr="00BE736B">
        <w:rPr>
          <w:rFonts w:ascii="Calibri" w:eastAsia="Times New Roman" w:hAnsi="Calibri" w:cs="Calibri"/>
          <w:color w:val="000000" w:themeColor="text1"/>
          <w:sz w:val="20"/>
          <w:szCs w:val="20"/>
        </w:rPr>
        <w:t xml:space="preserve"> Forms or </w:t>
      </w:r>
      <w:proofErr w:type="spellStart"/>
      <w:r w:rsidRPr="00BE736B">
        <w:rPr>
          <w:rFonts w:ascii="Calibri" w:eastAsia="Times New Roman" w:hAnsi="Calibri" w:cs="Calibri"/>
          <w:color w:val="000000" w:themeColor="text1"/>
          <w:sz w:val="20"/>
          <w:szCs w:val="20"/>
        </w:rPr>
        <w:t>eFPS</w:t>
      </w:r>
      <w:proofErr w:type="spellEnd"/>
      <w:r w:rsidRPr="00BE736B">
        <w:rPr>
          <w:rFonts w:ascii="Calibri" w:eastAsia="Times New Roman" w:hAnsi="Calibri" w:cs="Calibri"/>
          <w:color w:val="000000" w:themeColor="text1"/>
          <w:sz w:val="20"/>
          <w:szCs w:val="20"/>
        </w:rPr>
        <w:t xml:space="preserve"> without any attachment required, taxpayers need not submit printed copy of e-filed tax returns to the office under the Large Taxpayers Service/Revenue District Offices. Taxpayers with required attachments to their duly filed and paid tax returns shall be submitted through </w:t>
      </w:r>
      <w:hyperlink r:id="rId11" w:history="1">
        <w:r w:rsidRPr="00BE736B">
          <w:rPr>
            <w:rStyle w:val="Hyperlink"/>
            <w:rFonts w:ascii="Calibri" w:eastAsia="Times New Roman" w:hAnsi="Calibri" w:cs="Calibri"/>
            <w:color w:val="000000" w:themeColor="text1"/>
            <w:sz w:val="20"/>
            <w:szCs w:val="20"/>
          </w:rPr>
          <w:t>esubmission@bir.gov.ph</w:t>
        </w:r>
      </w:hyperlink>
      <w:r w:rsidRPr="00BE736B">
        <w:rPr>
          <w:rFonts w:ascii="Calibri" w:eastAsia="Times New Roman" w:hAnsi="Calibri" w:cs="Calibri"/>
          <w:color w:val="000000" w:themeColor="text1"/>
          <w:sz w:val="20"/>
          <w:szCs w:val="20"/>
        </w:rPr>
        <w:t xml:space="preserve">. </w:t>
      </w:r>
    </w:p>
    <w:p w14:paraId="1ABB6C76" w14:textId="77777777" w:rsidR="001C5772" w:rsidRPr="00BE736B" w:rsidRDefault="001C5772" w:rsidP="001C5772">
      <w:pPr>
        <w:pStyle w:val="ListParagraph"/>
        <w:numPr>
          <w:ilvl w:val="1"/>
          <w:numId w:val="7"/>
        </w:numPr>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For attachments to Annual/Quarterly ITRs duly filed electronically, concerned taxpayers may submit via Electronic Audited Financial Statement (</w:t>
      </w:r>
      <w:proofErr w:type="spellStart"/>
      <w:r w:rsidRPr="00BE736B">
        <w:rPr>
          <w:rFonts w:ascii="Calibri" w:eastAsia="Times New Roman" w:hAnsi="Calibri" w:cs="Calibri"/>
          <w:color w:val="000000" w:themeColor="text1"/>
          <w:sz w:val="20"/>
          <w:szCs w:val="20"/>
        </w:rPr>
        <w:t>eAFS</w:t>
      </w:r>
      <w:proofErr w:type="spellEnd"/>
      <w:r w:rsidRPr="00BE736B">
        <w:rPr>
          <w:rFonts w:ascii="Calibri" w:eastAsia="Times New Roman" w:hAnsi="Calibri" w:cs="Calibri"/>
          <w:color w:val="000000" w:themeColor="text1"/>
          <w:sz w:val="20"/>
          <w:szCs w:val="20"/>
        </w:rPr>
        <w:t xml:space="preserve">) system the claimed tax credit certificates in lieu of attaching the physical copy of their claimed tax credits in the Quarterly ITRs. The email confirmation received from </w:t>
      </w:r>
      <w:proofErr w:type="spellStart"/>
      <w:r w:rsidRPr="00BE736B">
        <w:rPr>
          <w:rFonts w:ascii="Calibri" w:eastAsia="Times New Roman" w:hAnsi="Calibri" w:cs="Calibri"/>
          <w:color w:val="000000" w:themeColor="text1"/>
          <w:sz w:val="20"/>
          <w:szCs w:val="20"/>
        </w:rPr>
        <w:t>eAFS</w:t>
      </w:r>
      <w:proofErr w:type="spellEnd"/>
      <w:r w:rsidRPr="00BE736B">
        <w:rPr>
          <w:rFonts w:ascii="Calibri" w:eastAsia="Times New Roman" w:hAnsi="Calibri" w:cs="Calibri"/>
          <w:color w:val="000000" w:themeColor="text1"/>
          <w:sz w:val="20"/>
          <w:szCs w:val="20"/>
        </w:rPr>
        <w:t xml:space="preserve"> shall serve as proof of submission of said attachments. Other submissions made through SAWT shall continue to observe procedures per existing regulations.</w:t>
      </w:r>
    </w:p>
    <w:p w14:paraId="233CB858" w14:textId="77777777" w:rsidR="001C5772" w:rsidRPr="00BE736B" w:rsidRDefault="001C5772" w:rsidP="001C5772">
      <w:pPr>
        <w:pStyle w:val="ListParagraph"/>
        <w:numPr>
          <w:ilvl w:val="1"/>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 xml:space="preserve">Submission and storage of original copies of attachments shall observe the provisions of relevant issuances. </w:t>
      </w:r>
    </w:p>
    <w:p w14:paraId="6B78DAC3" w14:textId="77777777" w:rsidR="001C5772" w:rsidRPr="00BE736B" w:rsidRDefault="001C5772" w:rsidP="001C5772">
      <w:pPr>
        <w:pStyle w:val="ListParagraph"/>
        <w:numPr>
          <w:ilvl w:val="0"/>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Filing of “No Payment Returns” by non-</w:t>
      </w:r>
      <w:proofErr w:type="spellStart"/>
      <w:r w:rsidRPr="00BE736B">
        <w:rPr>
          <w:rFonts w:ascii="Calibri" w:eastAsia="Times New Roman" w:hAnsi="Calibri" w:cs="Calibri"/>
          <w:color w:val="000000" w:themeColor="text1"/>
          <w:sz w:val="20"/>
          <w:szCs w:val="20"/>
        </w:rPr>
        <w:t>eFPS</w:t>
      </w:r>
      <w:proofErr w:type="spellEnd"/>
      <w:r w:rsidRPr="00BE736B">
        <w:rPr>
          <w:rFonts w:ascii="Calibri" w:eastAsia="Times New Roman" w:hAnsi="Calibri" w:cs="Calibri"/>
          <w:color w:val="000000" w:themeColor="text1"/>
          <w:sz w:val="20"/>
          <w:szCs w:val="20"/>
        </w:rPr>
        <w:t xml:space="preserve"> users shall be made electronically through the </w:t>
      </w:r>
      <w:proofErr w:type="spellStart"/>
      <w:r w:rsidRPr="00BE736B">
        <w:rPr>
          <w:rFonts w:ascii="Calibri" w:eastAsia="Times New Roman" w:hAnsi="Calibri" w:cs="Calibri"/>
          <w:color w:val="000000" w:themeColor="text1"/>
          <w:sz w:val="20"/>
          <w:szCs w:val="20"/>
        </w:rPr>
        <w:t>eBIR</w:t>
      </w:r>
      <w:proofErr w:type="spellEnd"/>
      <w:r w:rsidRPr="00BE736B">
        <w:rPr>
          <w:rFonts w:ascii="Calibri" w:eastAsia="Times New Roman" w:hAnsi="Calibri" w:cs="Calibri"/>
          <w:color w:val="000000" w:themeColor="text1"/>
          <w:sz w:val="20"/>
          <w:szCs w:val="20"/>
        </w:rPr>
        <w:t xml:space="preserve"> Forms facility. Taxpayers who filed “No Payment Returns” electronically shall likewise be required to file for their subsequent tax filings electronically, regardless of payments.</w:t>
      </w:r>
    </w:p>
    <w:p w14:paraId="166D6008" w14:textId="77777777" w:rsidR="001C5772" w:rsidRPr="00BE736B" w:rsidRDefault="001C5772" w:rsidP="001C5772">
      <w:pPr>
        <w:pStyle w:val="ListParagraph"/>
        <w:numPr>
          <w:ilvl w:val="0"/>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Senior Citizen (SC) or Persons with Disabilities (PWDs) filing for their own returns, employees deriving purely compensation income from two or more employers, concurrently or successively, and employees qualified for substituted filing can manually file their “No Payment Returns” with the RDO where they are registered using the electronic or computer-generated returns or photocopied returns in its original format and in Legal/Folio size bond paper</w:t>
      </w:r>
    </w:p>
    <w:p w14:paraId="7D09C9AD" w14:textId="77777777" w:rsidR="001C5772" w:rsidRPr="00BE736B" w:rsidRDefault="001C5772" w:rsidP="001C5772">
      <w:pPr>
        <w:pStyle w:val="ListParagraph"/>
        <w:numPr>
          <w:ilvl w:val="0"/>
          <w:numId w:val="7"/>
        </w:numPr>
        <w:spacing w:after="0" w:line="240" w:lineRule="auto"/>
        <w:ind w:right="720"/>
        <w:contextualSpacing w:val="0"/>
        <w:rPr>
          <w:rFonts w:ascii="Calibri" w:eastAsia="Times New Roman" w:hAnsi="Calibri" w:cs="Calibri"/>
          <w:color w:val="000000" w:themeColor="text1"/>
          <w:sz w:val="20"/>
          <w:szCs w:val="20"/>
        </w:rPr>
      </w:pPr>
      <w:r w:rsidRPr="00BE736B">
        <w:rPr>
          <w:rFonts w:ascii="Calibri" w:hAnsi="Calibri" w:cs="Calibri"/>
          <w:color w:val="000000" w:themeColor="text1"/>
          <w:sz w:val="20"/>
          <w:szCs w:val="20"/>
        </w:rPr>
        <w:t xml:space="preserve">In general, taxpayers who are required to file electronically but filed and paid manually shall be liable for violation tantamount to “Wrong Venue” filing </w:t>
      </w:r>
    </w:p>
    <w:p w14:paraId="7B8AE994" w14:textId="77777777" w:rsidR="001C5772" w:rsidRPr="00BE736B" w:rsidRDefault="001C5772" w:rsidP="001C5772">
      <w:pPr>
        <w:pStyle w:val="ListParagraph"/>
        <w:numPr>
          <w:ilvl w:val="0"/>
          <w:numId w:val="7"/>
        </w:numPr>
        <w:spacing w:after="0" w:line="240" w:lineRule="auto"/>
        <w:contextualSpacing w:val="0"/>
        <w:rPr>
          <w:rFonts w:ascii="Calibri" w:hAnsi="Calibri" w:cs="Calibri"/>
          <w:color w:val="000000" w:themeColor="text1"/>
          <w:sz w:val="20"/>
          <w:szCs w:val="20"/>
        </w:rPr>
      </w:pPr>
      <w:r w:rsidRPr="00BE736B">
        <w:rPr>
          <w:rFonts w:ascii="Calibri" w:hAnsi="Calibri" w:cs="Calibri"/>
          <w:color w:val="000000" w:themeColor="text1"/>
          <w:sz w:val="20"/>
          <w:szCs w:val="20"/>
        </w:rPr>
        <w:t xml:space="preserve">In case of unavailability of </w:t>
      </w:r>
      <w:proofErr w:type="spellStart"/>
      <w:r w:rsidRPr="00BE736B">
        <w:rPr>
          <w:rFonts w:ascii="Calibri" w:hAnsi="Calibri" w:cs="Calibri"/>
          <w:color w:val="000000" w:themeColor="text1"/>
          <w:sz w:val="20"/>
          <w:szCs w:val="20"/>
        </w:rPr>
        <w:t>eFPS</w:t>
      </w:r>
      <w:proofErr w:type="spellEnd"/>
      <w:r w:rsidRPr="00BE736B">
        <w:rPr>
          <w:rFonts w:ascii="Calibri" w:hAnsi="Calibri" w:cs="Calibri"/>
          <w:color w:val="000000" w:themeColor="text1"/>
          <w:sz w:val="20"/>
          <w:szCs w:val="20"/>
        </w:rPr>
        <w:t xml:space="preserve"> covered by a duly released advisory, taxpayers shall electronically file through the </w:t>
      </w:r>
      <w:proofErr w:type="spellStart"/>
      <w:r w:rsidRPr="00BE736B">
        <w:rPr>
          <w:rFonts w:ascii="Calibri" w:hAnsi="Calibri" w:cs="Calibri"/>
          <w:color w:val="000000" w:themeColor="text1"/>
          <w:sz w:val="20"/>
          <w:szCs w:val="20"/>
        </w:rPr>
        <w:t>eBIR</w:t>
      </w:r>
      <w:proofErr w:type="spellEnd"/>
      <w:r w:rsidRPr="00BE736B">
        <w:rPr>
          <w:rFonts w:ascii="Calibri" w:hAnsi="Calibri" w:cs="Calibri"/>
          <w:color w:val="000000" w:themeColor="text1"/>
          <w:sz w:val="20"/>
          <w:szCs w:val="20"/>
        </w:rPr>
        <w:t xml:space="preserve"> Forms facility and pay the corresponding tax due thereon through the payment facilities provided for in the first bullet above. However, in case of unavailability of both </w:t>
      </w:r>
      <w:proofErr w:type="spellStart"/>
      <w:r w:rsidRPr="00BE736B">
        <w:rPr>
          <w:rFonts w:ascii="Calibri" w:hAnsi="Calibri" w:cs="Calibri"/>
          <w:color w:val="000000" w:themeColor="text1"/>
          <w:sz w:val="20"/>
          <w:szCs w:val="20"/>
        </w:rPr>
        <w:t>eFPS</w:t>
      </w:r>
      <w:proofErr w:type="spellEnd"/>
      <w:r w:rsidRPr="00BE736B">
        <w:rPr>
          <w:rFonts w:ascii="Calibri" w:hAnsi="Calibri" w:cs="Calibri"/>
          <w:color w:val="000000" w:themeColor="text1"/>
          <w:sz w:val="20"/>
          <w:szCs w:val="20"/>
        </w:rPr>
        <w:t xml:space="preserve"> and </w:t>
      </w:r>
      <w:proofErr w:type="spellStart"/>
      <w:r w:rsidRPr="00BE736B">
        <w:rPr>
          <w:rFonts w:ascii="Calibri" w:hAnsi="Calibri" w:cs="Calibri"/>
          <w:color w:val="000000" w:themeColor="text1"/>
          <w:sz w:val="20"/>
          <w:szCs w:val="20"/>
        </w:rPr>
        <w:t>eBIR</w:t>
      </w:r>
      <w:proofErr w:type="spellEnd"/>
      <w:r w:rsidRPr="00BE736B">
        <w:rPr>
          <w:rFonts w:ascii="Calibri" w:hAnsi="Calibri" w:cs="Calibri"/>
          <w:color w:val="000000" w:themeColor="text1"/>
          <w:sz w:val="20"/>
          <w:szCs w:val="20"/>
        </w:rPr>
        <w:t xml:space="preserve"> Forms facility through a duly released advisory, taxpayers shall observe the procedures in manual filing and payment of taxes as provided in the third bullet above.</w:t>
      </w:r>
    </w:p>
    <w:p w14:paraId="1B2FDD29" w14:textId="77777777" w:rsidR="001C5772" w:rsidRPr="00BE736B" w:rsidRDefault="001C5772" w:rsidP="001C5772">
      <w:pPr>
        <w:ind w:right="720"/>
        <w:rPr>
          <w:rFonts w:ascii="Calibri" w:hAnsi="Calibri" w:cs="Calibri"/>
          <w:color w:val="000000" w:themeColor="text1"/>
          <w:sz w:val="20"/>
          <w:szCs w:val="20"/>
        </w:rPr>
      </w:pPr>
    </w:p>
    <w:p w14:paraId="16443441" w14:textId="77777777" w:rsidR="001C5772" w:rsidRPr="00BE736B" w:rsidRDefault="001C5772" w:rsidP="001C5772">
      <w:pPr>
        <w:pStyle w:val="ListParagraph"/>
        <w:ind w:left="360" w:right="720"/>
        <w:rPr>
          <w:rFonts w:ascii="Calibri" w:hAnsi="Calibri" w:cs="Calibri"/>
          <w:b/>
          <w:bCs/>
          <w:color w:val="000000" w:themeColor="text1"/>
          <w:sz w:val="20"/>
          <w:szCs w:val="20"/>
        </w:rPr>
      </w:pPr>
      <w:r w:rsidRPr="00BE736B">
        <w:rPr>
          <w:rFonts w:ascii="Calibri" w:hAnsi="Calibri" w:cs="Calibri"/>
          <w:b/>
          <w:bCs/>
          <w:color w:val="000000" w:themeColor="text1"/>
          <w:sz w:val="20"/>
          <w:szCs w:val="20"/>
        </w:rPr>
        <w:t>RMC No. 5-2021 (issued on January 8, 2021) Simplified Policies on the Application for Registration of Computerized Accounting System (CAS), Computerized Books of Accounts (CBA) and/or its Components, including the Electronic Storage System (ESS), Middleware and Other Similar Systems</w:t>
      </w:r>
    </w:p>
    <w:p w14:paraId="51956A98" w14:textId="77777777" w:rsidR="001C5772" w:rsidRPr="00BE736B" w:rsidRDefault="001C5772" w:rsidP="001C5772">
      <w:pPr>
        <w:pStyle w:val="ListParagraph"/>
        <w:numPr>
          <w:ilvl w:val="0"/>
          <w:numId w:val="7"/>
        </w:numPr>
        <w:rPr>
          <w:rFonts w:ascii="Calibri" w:hAnsi="Calibri" w:cs="Calibri"/>
          <w:color w:val="000000" w:themeColor="text1"/>
          <w:sz w:val="20"/>
          <w:szCs w:val="20"/>
        </w:rPr>
      </w:pPr>
      <w:r w:rsidRPr="00BE736B">
        <w:rPr>
          <w:rFonts w:ascii="Calibri" w:hAnsi="Calibri" w:cs="Calibri"/>
          <w:color w:val="000000" w:themeColor="text1"/>
          <w:sz w:val="20"/>
          <w:szCs w:val="20"/>
        </w:rPr>
        <w:t xml:space="preserve">All taxpayers intending to use CAS, CBA and/or its components, including the ESS, Middleware and other similar systems shall not be required to secure </w:t>
      </w:r>
      <w:r w:rsidRPr="00BE736B">
        <w:rPr>
          <w:rFonts w:ascii="Calibri" w:eastAsia="Times New Roman" w:hAnsi="Calibri" w:cs="Calibri"/>
          <w:color w:val="000000" w:themeColor="text1"/>
          <w:sz w:val="20"/>
          <w:szCs w:val="20"/>
        </w:rPr>
        <w:t>Permit to Use (PTU)</w:t>
      </w:r>
      <w:r w:rsidRPr="00BE736B">
        <w:rPr>
          <w:rFonts w:ascii="Calibri" w:hAnsi="Calibri" w:cs="Calibri"/>
          <w:color w:val="000000" w:themeColor="text1"/>
          <w:sz w:val="20"/>
          <w:szCs w:val="20"/>
        </w:rPr>
        <w:t>, instead, shall be registered subject to the following policies:</w:t>
      </w:r>
    </w:p>
    <w:p w14:paraId="6C271FE9" w14:textId="77777777" w:rsidR="001C5772" w:rsidRPr="00BE736B" w:rsidRDefault="001C5772" w:rsidP="001C5772">
      <w:pPr>
        <w:pStyle w:val="ListParagraph"/>
        <w:numPr>
          <w:ilvl w:val="1"/>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Register the “System” to the Revenue District Office (RDO) where the taxpayer is registered. BIR Form No. 1900 (Application for Authority to Use Computerized Accounting System or Components thereof/Loose-Leaf Books of Accounts) shall no longer be required for the submission of application for registration of the “System”.</w:t>
      </w:r>
    </w:p>
    <w:p w14:paraId="34000D8E" w14:textId="77777777" w:rsidR="001C5772" w:rsidRPr="00BE736B" w:rsidRDefault="001C5772" w:rsidP="001C5772">
      <w:pPr>
        <w:pStyle w:val="ListParagraph"/>
        <w:numPr>
          <w:ilvl w:val="1"/>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When discovered to have violated the standards during post-evaluation or audit, the taxpayer-user shall be subject to penalties provided under RMO No. 7-2015 and other existing revenue issuances.</w:t>
      </w:r>
    </w:p>
    <w:p w14:paraId="0114C73F" w14:textId="77777777" w:rsidR="001C5772" w:rsidRPr="00BE736B" w:rsidRDefault="001C5772" w:rsidP="001C5772">
      <w:pPr>
        <w:pStyle w:val="ListParagraph"/>
        <w:numPr>
          <w:ilvl w:val="1"/>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lastRenderedPageBreak/>
        <w:t>Upon submission of complete documentary requirements, an Acknowledgement Certificate (AC) shall be issued within 3 working days from receipt of the complete documents by the RDO where the taxpayer-user of the system is registered. Hence, Permit to Use CAS, CBA and/or Components shall no longer be required for the use and registration of the “System” upon approval of this Circular.</w:t>
      </w:r>
    </w:p>
    <w:p w14:paraId="152C7A61" w14:textId="77777777" w:rsidR="001C5772" w:rsidRPr="00BE736B" w:rsidRDefault="001C5772" w:rsidP="001C5772">
      <w:pPr>
        <w:pStyle w:val="ListParagraph"/>
        <w:numPr>
          <w:ilvl w:val="1"/>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System demonstration or pre-evaluation shall not be required prior to the use of the “System”. However, post-evaluation shall be conducted by the concerned RDO to determine compliance of the “System” registered with the Bureau.</w:t>
      </w:r>
    </w:p>
    <w:p w14:paraId="665FA172" w14:textId="77777777" w:rsidR="001C5772" w:rsidRPr="00BE736B" w:rsidRDefault="001C5772" w:rsidP="001C5772">
      <w:pPr>
        <w:pStyle w:val="ListParagraph"/>
        <w:numPr>
          <w:ilvl w:val="1"/>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All taxpayers with existing PTU CAS, CBA and/or its Components shall NOT be required to apply for registration. The approved PTU previously issued by the Bureau shall still be valid subject to certain exceptions.</w:t>
      </w:r>
    </w:p>
    <w:p w14:paraId="7DC17F52" w14:textId="77777777" w:rsidR="001C5772" w:rsidRPr="00BE736B" w:rsidRDefault="001C5772" w:rsidP="001C5772">
      <w:pPr>
        <w:pStyle w:val="ListParagraph"/>
        <w:numPr>
          <w:ilvl w:val="1"/>
          <w:numId w:val="7"/>
        </w:numPr>
        <w:spacing w:after="0" w:line="240" w:lineRule="auto"/>
        <w:contextualSpacing w:val="0"/>
        <w:rPr>
          <w:rFonts w:ascii="Calibri" w:hAnsi="Calibri" w:cs="Calibri"/>
          <w:color w:val="000000" w:themeColor="text1"/>
          <w:sz w:val="20"/>
          <w:szCs w:val="20"/>
        </w:rPr>
      </w:pPr>
      <w:r w:rsidRPr="00BE736B">
        <w:rPr>
          <w:rFonts w:ascii="Calibri" w:eastAsia="Times New Roman" w:hAnsi="Calibri" w:cs="Calibri"/>
          <w:color w:val="000000" w:themeColor="text1"/>
          <w:sz w:val="20"/>
          <w:szCs w:val="20"/>
        </w:rPr>
        <w:t xml:space="preserve">Taxpayer must submit a new application for registration in case of major system enhancement. </w:t>
      </w:r>
      <w:r w:rsidRPr="00BE736B">
        <w:rPr>
          <w:rFonts w:ascii="Calibri" w:hAnsi="Calibri" w:cs="Calibri"/>
          <w:color w:val="000000" w:themeColor="text1"/>
          <w:sz w:val="20"/>
          <w:szCs w:val="20"/>
        </w:rPr>
        <w:t>In case a taxpayer is found to have used an enhanced/upgraded system/software/application without registering with BIR prior to the use of such enhanced “system”, the PTU originally issued shall be automatically revoked or registration shall have no effect from the time the enhanced/upgraded system/software/application is adopted by the taxpayer and may still be subjected to applicable penalty under existing revenue issuances.</w:t>
      </w:r>
    </w:p>
    <w:p w14:paraId="033E5A57" w14:textId="77777777" w:rsidR="001C5772" w:rsidRPr="00BE736B" w:rsidRDefault="001C5772" w:rsidP="001C5772">
      <w:pPr>
        <w:pStyle w:val="ListParagraph"/>
        <w:numPr>
          <w:ilvl w:val="1"/>
          <w:numId w:val="7"/>
        </w:numPr>
        <w:spacing w:after="0" w:line="240" w:lineRule="auto"/>
        <w:contextualSpacing w:val="0"/>
        <w:rPr>
          <w:rFonts w:ascii="Calibri" w:eastAsia="Times New Roman" w:hAnsi="Calibri" w:cs="Calibri"/>
          <w:color w:val="000000" w:themeColor="text1"/>
          <w:sz w:val="20"/>
          <w:szCs w:val="20"/>
        </w:rPr>
      </w:pPr>
      <w:r w:rsidRPr="00BE736B">
        <w:rPr>
          <w:rFonts w:ascii="Calibri" w:eastAsia="Times New Roman" w:hAnsi="Calibri" w:cs="Calibri"/>
          <w:color w:val="000000" w:themeColor="text1"/>
          <w:sz w:val="20"/>
          <w:szCs w:val="20"/>
        </w:rPr>
        <w:t>In case of any minor system enhancement, the taxpayer must submit a written notification to their registered RDO/LT Office stating the specific minor enhancements on the system.</w:t>
      </w:r>
    </w:p>
    <w:p w14:paraId="0A1C5E4D" w14:textId="77777777" w:rsidR="001C5772" w:rsidRPr="00BE736B" w:rsidRDefault="001C5772" w:rsidP="001C5772">
      <w:pPr>
        <w:pStyle w:val="ListParagraph"/>
        <w:ind w:left="360" w:right="720"/>
        <w:rPr>
          <w:rFonts w:ascii="Calibri" w:hAnsi="Calibri" w:cs="Calibri"/>
          <w:b/>
          <w:bCs/>
          <w:color w:val="000000" w:themeColor="text1"/>
          <w:sz w:val="20"/>
          <w:szCs w:val="20"/>
        </w:rPr>
      </w:pPr>
    </w:p>
    <w:p w14:paraId="7D5A6745" w14:textId="77777777" w:rsidR="001C5772" w:rsidRPr="00BE736B" w:rsidRDefault="001C5772" w:rsidP="001C5772">
      <w:pPr>
        <w:jc w:val="both"/>
        <w:rPr>
          <w:rFonts w:ascii="Calibri" w:hAnsi="Calibri" w:cs="Calibri"/>
          <w:sz w:val="20"/>
          <w:szCs w:val="20"/>
        </w:rPr>
      </w:pPr>
      <w:r w:rsidRPr="00BE736B">
        <w:rPr>
          <w:rFonts w:ascii="Calibri" w:hAnsi="Calibri" w:cs="Calibri"/>
          <w:b/>
          <w:bCs/>
          <w:color w:val="000000" w:themeColor="text1"/>
          <w:sz w:val="20"/>
          <w:szCs w:val="20"/>
        </w:rPr>
        <w:t xml:space="preserve">RMC 6-2021 issued on January 8, 2021- </w:t>
      </w:r>
      <w:r w:rsidRPr="00BE736B">
        <w:rPr>
          <w:rFonts w:ascii="Calibri" w:hAnsi="Calibri" w:cs="Calibri"/>
          <w:color w:val="000000" w:themeColor="text1"/>
          <w:sz w:val="20"/>
          <w:szCs w:val="20"/>
        </w:rPr>
        <w:t>Prescribes the use of the</w:t>
      </w:r>
      <w:r w:rsidRPr="00BE736B">
        <w:rPr>
          <w:rFonts w:ascii="Calibri" w:hAnsi="Calibri" w:cs="Calibri"/>
          <w:b/>
          <w:bCs/>
          <w:color w:val="000000" w:themeColor="text1"/>
          <w:sz w:val="20"/>
          <w:szCs w:val="20"/>
        </w:rPr>
        <w:t xml:space="preserve"> </w:t>
      </w:r>
      <w:r w:rsidRPr="00BE736B">
        <w:rPr>
          <w:rFonts w:ascii="Calibri" w:hAnsi="Calibri" w:cs="Calibri"/>
          <w:sz w:val="20"/>
          <w:szCs w:val="20"/>
        </w:rPr>
        <w:t>revised BIR Form No. 2200-M [Excise Tax Return for Mineral Products] January 2018 (ENCS), which is already available in the BIR website. However, the form is not yet available in the Electronic Filing and Payment System (</w:t>
      </w:r>
      <w:proofErr w:type="spellStart"/>
      <w:r w:rsidRPr="00BE736B">
        <w:rPr>
          <w:rFonts w:ascii="Calibri" w:hAnsi="Calibri" w:cs="Calibri"/>
          <w:sz w:val="20"/>
          <w:szCs w:val="20"/>
        </w:rPr>
        <w:t>eFPS</w:t>
      </w:r>
      <w:proofErr w:type="spellEnd"/>
      <w:r w:rsidRPr="00BE736B">
        <w:rPr>
          <w:rFonts w:ascii="Calibri" w:hAnsi="Calibri" w:cs="Calibri"/>
          <w:sz w:val="20"/>
          <w:szCs w:val="20"/>
        </w:rPr>
        <w:t>) and Electronic Bureau of Internal Revenue Forms (</w:t>
      </w:r>
      <w:proofErr w:type="spellStart"/>
      <w:r w:rsidRPr="00BE736B">
        <w:rPr>
          <w:rFonts w:ascii="Calibri" w:hAnsi="Calibri" w:cs="Calibri"/>
          <w:sz w:val="20"/>
          <w:szCs w:val="20"/>
        </w:rPr>
        <w:t>eBIRForms</w:t>
      </w:r>
      <w:proofErr w:type="spellEnd"/>
      <w:r w:rsidRPr="00BE736B">
        <w:rPr>
          <w:rFonts w:ascii="Calibri" w:hAnsi="Calibri" w:cs="Calibri"/>
          <w:sz w:val="20"/>
          <w:szCs w:val="20"/>
        </w:rPr>
        <w:t xml:space="preserve">). Thus, </w:t>
      </w:r>
      <w:proofErr w:type="spellStart"/>
      <w:r w:rsidRPr="00BE736B">
        <w:rPr>
          <w:rFonts w:ascii="Calibri" w:hAnsi="Calibri" w:cs="Calibri"/>
          <w:sz w:val="20"/>
          <w:szCs w:val="20"/>
        </w:rPr>
        <w:t>eFPS</w:t>
      </w:r>
      <w:proofErr w:type="spellEnd"/>
      <w:r w:rsidRPr="00BE736B">
        <w:rPr>
          <w:rFonts w:ascii="Calibri" w:hAnsi="Calibri" w:cs="Calibri"/>
          <w:sz w:val="20"/>
          <w:szCs w:val="20"/>
        </w:rPr>
        <w:t>/</w:t>
      </w:r>
      <w:proofErr w:type="spellStart"/>
      <w:r w:rsidRPr="00BE736B">
        <w:rPr>
          <w:rFonts w:ascii="Calibri" w:hAnsi="Calibri" w:cs="Calibri"/>
          <w:sz w:val="20"/>
          <w:szCs w:val="20"/>
        </w:rPr>
        <w:t>eBIRForms</w:t>
      </w:r>
      <w:proofErr w:type="spellEnd"/>
      <w:r w:rsidRPr="00BE736B">
        <w:rPr>
          <w:rFonts w:ascii="Calibri" w:hAnsi="Calibri" w:cs="Calibri"/>
          <w:sz w:val="20"/>
          <w:szCs w:val="20"/>
        </w:rPr>
        <w:t xml:space="preserve"> filers shall continue to use the BIR Form No. 2200-M in </w:t>
      </w:r>
      <w:proofErr w:type="spellStart"/>
      <w:r w:rsidRPr="00BE736B">
        <w:rPr>
          <w:rFonts w:ascii="Calibri" w:hAnsi="Calibri" w:cs="Calibri"/>
          <w:sz w:val="20"/>
          <w:szCs w:val="20"/>
        </w:rPr>
        <w:t>eFPS</w:t>
      </w:r>
      <w:proofErr w:type="spellEnd"/>
      <w:r w:rsidRPr="00BE736B">
        <w:rPr>
          <w:rFonts w:ascii="Calibri" w:hAnsi="Calibri" w:cs="Calibri"/>
          <w:sz w:val="20"/>
          <w:szCs w:val="20"/>
        </w:rPr>
        <w:t xml:space="preserve"> and in Offline </w:t>
      </w:r>
      <w:proofErr w:type="spellStart"/>
      <w:r w:rsidRPr="00BE736B">
        <w:rPr>
          <w:rFonts w:ascii="Calibri" w:hAnsi="Calibri" w:cs="Calibri"/>
          <w:sz w:val="20"/>
          <w:szCs w:val="20"/>
        </w:rPr>
        <w:t>eBIRForms</w:t>
      </w:r>
      <w:proofErr w:type="spellEnd"/>
      <w:r w:rsidRPr="00BE736B">
        <w:rPr>
          <w:rFonts w:ascii="Calibri" w:hAnsi="Calibri" w:cs="Calibri"/>
          <w:sz w:val="20"/>
          <w:szCs w:val="20"/>
        </w:rPr>
        <w:t xml:space="preserve"> Package v7.7 in filing and paying the Excise Tax due. Once the return becomes available in the </w:t>
      </w:r>
      <w:proofErr w:type="spellStart"/>
      <w:r w:rsidRPr="00BE736B">
        <w:rPr>
          <w:rFonts w:ascii="Calibri" w:hAnsi="Calibri" w:cs="Calibri"/>
          <w:sz w:val="20"/>
          <w:szCs w:val="20"/>
        </w:rPr>
        <w:t>eFPS</w:t>
      </w:r>
      <w:proofErr w:type="spellEnd"/>
      <w:r w:rsidRPr="00BE736B">
        <w:rPr>
          <w:rFonts w:ascii="Calibri" w:hAnsi="Calibri" w:cs="Calibri"/>
          <w:sz w:val="20"/>
          <w:szCs w:val="20"/>
        </w:rPr>
        <w:t xml:space="preserve"> and in the Offline </w:t>
      </w:r>
      <w:proofErr w:type="spellStart"/>
      <w:r w:rsidRPr="00BE736B">
        <w:rPr>
          <w:rFonts w:ascii="Calibri" w:hAnsi="Calibri" w:cs="Calibri"/>
          <w:sz w:val="20"/>
          <w:szCs w:val="20"/>
        </w:rPr>
        <w:t>eBIRForms</w:t>
      </w:r>
      <w:proofErr w:type="spellEnd"/>
      <w:r w:rsidRPr="00BE736B">
        <w:rPr>
          <w:rFonts w:ascii="Calibri" w:hAnsi="Calibri" w:cs="Calibri"/>
          <w:sz w:val="20"/>
          <w:szCs w:val="20"/>
        </w:rPr>
        <w:t xml:space="preserve"> Package, a separate revenue issuance shall be released to announce its availability. </w:t>
      </w:r>
    </w:p>
    <w:p w14:paraId="1038B4DA" w14:textId="77777777" w:rsidR="001C5772" w:rsidRPr="00BE736B" w:rsidRDefault="001C5772" w:rsidP="001C5772">
      <w:pPr>
        <w:pStyle w:val="xmsonormal"/>
        <w:framePr w:hSpace="180" w:wrap="around" w:vAnchor="text" w:hAnchor="text" w:y="1"/>
        <w:rPr>
          <w:sz w:val="20"/>
          <w:szCs w:val="20"/>
        </w:rPr>
      </w:pPr>
      <w:r w:rsidRPr="00BE736B">
        <w:rPr>
          <w:color w:val="000000"/>
          <w:sz w:val="20"/>
          <w:szCs w:val="20"/>
        </w:rPr>
        <w:t>Manual filers shall download the PDF version of the form, print the form and completely fill out the applicable fields, otherwise penalties under Sec. 250 of the Tax Code, as amended, shall be imposed. Payment of the due thereon, if any, shall be made thru:</w:t>
      </w:r>
    </w:p>
    <w:p w14:paraId="6A7EBE06" w14:textId="77777777" w:rsidR="001C5772" w:rsidRPr="00BE736B" w:rsidRDefault="001C5772" w:rsidP="001C5772">
      <w:pPr>
        <w:pStyle w:val="xmsonormal"/>
        <w:framePr w:hSpace="180" w:wrap="around" w:vAnchor="text" w:hAnchor="text" w:y="1"/>
        <w:rPr>
          <w:sz w:val="20"/>
          <w:szCs w:val="20"/>
        </w:rPr>
      </w:pPr>
    </w:p>
    <w:p w14:paraId="1B4CDA2D" w14:textId="77777777" w:rsidR="001C5772" w:rsidRPr="00BE736B" w:rsidRDefault="001C5772" w:rsidP="001C5772">
      <w:pPr>
        <w:pStyle w:val="xmsonormal"/>
        <w:framePr w:hSpace="180" w:wrap="around" w:vAnchor="text" w:hAnchor="text" w:y="1"/>
        <w:numPr>
          <w:ilvl w:val="0"/>
          <w:numId w:val="9"/>
        </w:numPr>
        <w:rPr>
          <w:rFonts w:eastAsia="Times New Roman"/>
          <w:sz w:val="20"/>
          <w:szCs w:val="20"/>
          <w:u w:val="single"/>
        </w:rPr>
      </w:pPr>
      <w:r w:rsidRPr="00BE736B">
        <w:rPr>
          <w:rFonts w:eastAsia="Times New Roman"/>
          <w:color w:val="000000"/>
          <w:sz w:val="20"/>
          <w:szCs w:val="20"/>
          <w:u w:val="single"/>
        </w:rPr>
        <w:t>Manual Payment</w:t>
      </w:r>
    </w:p>
    <w:p w14:paraId="6E5ABCB2" w14:textId="77777777" w:rsidR="001C5772" w:rsidRPr="00BE736B" w:rsidRDefault="001C5772" w:rsidP="001C5772">
      <w:pPr>
        <w:pStyle w:val="xmsonormal"/>
        <w:framePr w:hSpace="180" w:wrap="around" w:vAnchor="text" w:hAnchor="text" w:y="1"/>
        <w:numPr>
          <w:ilvl w:val="0"/>
          <w:numId w:val="10"/>
        </w:numPr>
        <w:rPr>
          <w:rFonts w:eastAsia="Times New Roman"/>
          <w:sz w:val="20"/>
          <w:szCs w:val="20"/>
        </w:rPr>
      </w:pPr>
      <w:r w:rsidRPr="00BE736B">
        <w:rPr>
          <w:rFonts w:eastAsia="Times New Roman"/>
          <w:color w:val="000000"/>
          <w:sz w:val="20"/>
          <w:szCs w:val="20"/>
        </w:rPr>
        <w:t>Authorized Agent Bank (AAB) located within the territorial jurisdiction of the Large Taxpayers Service (LTS)/Revenue District Office (RDO) where the taxpayer (Head Office of the business establishment) is registered; or</w:t>
      </w:r>
    </w:p>
    <w:p w14:paraId="2A05FC64" w14:textId="77777777" w:rsidR="001C5772" w:rsidRPr="00BE736B" w:rsidRDefault="001C5772" w:rsidP="001C5772">
      <w:pPr>
        <w:pStyle w:val="xmsonormal"/>
        <w:framePr w:hSpace="180" w:wrap="around" w:vAnchor="text" w:hAnchor="text" w:y="1"/>
        <w:numPr>
          <w:ilvl w:val="0"/>
          <w:numId w:val="10"/>
        </w:numPr>
        <w:rPr>
          <w:rFonts w:eastAsia="Times New Roman"/>
          <w:sz w:val="20"/>
          <w:szCs w:val="20"/>
        </w:rPr>
      </w:pPr>
      <w:r w:rsidRPr="00BE736B">
        <w:rPr>
          <w:rFonts w:eastAsia="Times New Roman"/>
          <w:color w:val="000000"/>
          <w:sz w:val="20"/>
          <w:szCs w:val="20"/>
        </w:rPr>
        <w:t>In places where there are no AABs, the return shall be filed and the tax due shall be paid with the concerned Revenue Collection Officer (RCO) under the jurisdiction of the RDO where the taxpayer (Head Office of the business establishment) is registered using MRCOS facility.</w:t>
      </w:r>
    </w:p>
    <w:p w14:paraId="42B04864" w14:textId="77777777" w:rsidR="001C5772" w:rsidRPr="00BE736B" w:rsidRDefault="001C5772" w:rsidP="001C5772">
      <w:pPr>
        <w:pStyle w:val="xmsonormal"/>
        <w:framePr w:hSpace="180" w:wrap="around" w:vAnchor="text" w:hAnchor="text" w:y="1"/>
        <w:rPr>
          <w:sz w:val="20"/>
          <w:szCs w:val="20"/>
        </w:rPr>
      </w:pPr>
    </w:p>
    <w:p w14:paraId="7FD609C7" w14:textId="77777777" w:rsidR="001C5772" w:rsidRPr="00BE736B" w:rsidRDefault="001C5772" w:rsidP="001C5772">
      <w:pPr>
        <w:pStyle w:val="xmsonormal"/>
        <w:framePr w:hSpace="180" w:wrap="around" w:vAnchor="text" w:hAnchor="text" w:y="1"/>
        <w:numPr>
          <w:ilvl w:val="0"/>
          <w:numId w:val="9"/>
        </w:numPr>
        <w:rPr>
          <w:rFonts w:eastAsia="Times New Roman"/>
          <w:sz w:val="20"/>
          <w:szCs w:val="20"/>
          <w:u w:val="single"/>
        </w:rPr>
      </w:pPr>
      <w:r w:rsidRPr="00BE736B">
        <w:rPr>
          <w:rFonts w:eastAsia="Times New Roman"/>
          <w:color w:val="000000"/>
          <w:sz w:val="20"/>
          <w:szCs w:val="20"/>
          <w:u w:val="single"/>
        </w:rPr>
        <w:t>Online Payment</w:t>
      </w:r>
    </w:p>
    <w:p w14:paraId="5142153F" w14:textId="77777777" w:rsidR="001C5772" w:rsidRPr="00BE736B" w:rsidRDefault="001C5772" w:rsidP="001C5772">
      <w:pPr>
        <w:pStyle w:val="xmsonormal"/>
        <w:framePr w:hSpace="180" w:wrap="around" w:vAnchor="text" w:hAnchor="text" w:y="1"/>
        <w:numPr>
          <w:ilvl w:val="0"/>
          <w:numId w:val="11"/>
        </w:numPr>
        <w:rPr>
          <w:rFonts w:eastAsia="Times New Roman"/>
          <w:sz w:val="20"/>
          <w:szCs w:val="20"/>
        </w:rPr>
      </w:pPr>
      <w:r w:rsidRPr="00BE736B">
        <w:rPr>
          <w:rFonts w:eastAsia="Times New Roman"/>
          <w:color w:val="000000"/>
          <w:sz w:val="20"/>
          <w:szCs w:val="20"/>
        </w:rPr>
        <w:t xml:space="preserve">Thru </w:t>
      </w:r>
      <w:proofErr w:type="spellStart"/>
      <w:r w:rsidRPr="00BE736B">
        <w:rPr>
          <w:rFonts w:eastAsia="Times New Roman"/>
          <w:color w:val="000000"/>
          <w:sz w:val="20"/>
          <w:szCs w:val="20"/>
        </w:rPr>
        <w:t>GCash</w:t>
      </w:r>
      <w:proofErr w:type="spellEnd"/>
      <w:r w:rsidRPr="00BE736B">
        <w:rPr>
          <w:rFonts w:eastAsia="Times New Roman"/>
          <w:color w:val="000000"/>
          <w:sz w:val="20"/>
          <w:szCs w:val="20"/>
        </w:rPr>
        <w:t xml:space="preserve"> Mobile Payment; or</w:t>
      </w:r>
    </w:p>
    <w:p w14:paraId="6F35F8C3" w14:textId="77777777" w:rsidR="001C5772" w:rsidRPr="00BE736B" w:rsidRDefault="001C5772" w:rsidP="001C5772">
      <w:pPr>
        <w:pStyle w:val="xmsonormal"/>
        <w:framePr w:hSpace="180" w:wrap="around" w:vAnchor="text" w:hAnchor="text" w:y="1"/>
        <w:numPr>
          <w:ilvl w:val="0"/>
          <w:numId w:val="11"/>
        </w:numPr>
        <w:rPr>
          <w:rFonts w:eastAsia="Times New Roman"/>
          <w:sz w:val="20"/>
          <w:szCs w:val="20"/>
        </w:rPr>
      </w:pPr>
      <w:r w:rsidRPr="00BE736B">
        <w:rPr>
          <w:rFonts w:eastAsia="Times New Roman"/>
          <w:color w:val="000000"/>
          <w:sz w:val="20"/>
          <w:szCs w:val="20"/>
        </w:rPr>
        <w:t xml:space="preserve">Landbank of the Philippines (LBP) Link Biz Portal, for taxpayers who have ATM account with LBP and/or holders of </w:t>
      </w:r>
      <w:proofErr w:type="spellStart"/>
      <w:r w:rsidRPr="00BE736B">
        <w:rPr>
          <w:rFonts w:eastAsia="Times New Roman"/>
          <w:color w:val="000000"/>
          <w:sz w:val="20"/>
          <w:szCs w:val="20"/>
        </w:rPr>
        <w:t>Bancnet</w:t>
      </w:r>
      <w:proofErr w:type="spellEnd"/>
      <w:r w:rsidRPr="00BE736B">
        <w:rPr>
          <w:rFonts w:eastAsia="Times New Roman"/>
          <w:color w:val="000000"/>
          <w:sz w:val="20"/>
          <w:szCs w:val="20"/>
        </w:rPr>
        <w:t xml:space="preserve"> ATM/Debit Card; or</w:t>
      </w:r>
    </w:p>
    <w:p w14:paraId="049539BE" w14:textId="77777777" w:rsidR="001C5772" w:rsidRPr="00BE736B" w:rsidRDefault="001C5772" w:rsidP="001C5772">
      <w:pPr>
        <w:pStyle w:val="xmsonormal"/>
        <w:framePr w:hSpace="180" w:wrap="around" w:vAnchor="text" w:hAnchor="text" w:y="1"/>
        <w:numPr>
          <w:ilvl w:val="0"/>
          <w:numId w:val="11"/>
        </w:numPr>
        <w:rPr>
          <w:rFonts w:eastAsia="Times New Roman"/>
          <w:sz w:val="20"/>
          <w:szCs w:val="20"/>
        </w:rPr>
      </w:pPr>
      <w:r w:rsidRPr="00BE736B">
        <w:rPr>
          <w:rFonts w:eastAsia="Times New Roman"/>
          <w:color w:val="000000"/>
          <w:sz w:val="20"/>
          <w:szCs w:val="20"/>
        </w:rPr>
        <w:t xml:space="preserve">DBP Tax Online, for holders of VISA/MasterCard Credit Card and/or </w:t>
      </w:r>
      <w:proofErr w:type="spellStart"/>
      <w:r w:rsidRPr="00BE736B">
        <w:rPr>
          <w:rFonts w:eastAsia="Times New Roman"/>
          <w:color w:val="000000"/>
          <w:sz w:val="20"/>
          <w:szCs w:val="20"/>
        </w:rPr>
        <w:t>Bancnet</w:t>
      </w:r>
      <w:proofErr w:type="spellEnd"/>
      <w:r w:rsidRPr="00BE736B">
        <w:rPr>
          <w:rFonts w:eastAsia="Times New Roman"/>
          <w:color w:val="000000"/>
          <w:sz w:val="20"/>
          <w:szCs w:val="20"/>
        </w:rPr>
        <w:t xml:space="preserve"> ATM/Debit Card; or</w:t>
      </w:r>
    </w:p>
    <w:p w14:paraId="6BD4ECE3" w14:textId="77777777" w:rsidR="001C5772" w:rsidRPr="00BE736B" w:rsidRDefault="001C5772" w:rsidP="001C5772">
      <w:pPr>
        <w:pStyle w:val="xmsonormal"/>
        <w:framePr w:hSpace="180" w:wrap="around" w:vAnchor="text" w:hAnchor="text" w:y="1"/>
        <w:numPr>
          <w:ilvl w:val="0"/>
          <w:numId w:val="11"/>
        </w:numPr>
        <w:rPr>
          <w:rFonts w:eastAsia="Times New Roman"/>
          <w:sz w:val="20"/>
          <w:szCs w:val="20"/>
        </w:rPr>
      </w:pPr>
      <w:proofErr w:type="spellStart"/>
      <w:r w:rsidRPr="00BE736B">
        <w:rPr>
          <w:rFonts w:eastAsia="Times New Roman"/>
          <w:color w:val="000000"/>
          <w:sz w:val="20"/>
          <w:szCs w:val="20"/>
        </w:rPr>
        <w:t>UnionBank</w:t>
      </w:r>
      <w:proofErr w:type="spellEnd"/>
      <w:r w:rsidRPr="00BE736B">
        <w:rPr>
          <w:rFonts w:eastAsia="Times New Roman"/>
          <w:color w:val="000000"/>
          <w:sz w:val="20"/>
          <w:szCs w:val="20"/>
        </w:rPr>
        <w:t xml:space="preserve"> Online Web and Mobile Payment Facility – for Taxpayers who have account with </w:t>
      </w:r>
      <w:proofErr w:type="spellStart"/>
      <w:r w:rsidRPr="00BE736B">
        <w:rPr>
          <w:rFonts w:eastAsia="Times New Roman"/>
          <w:color w:val="000000"/>
          <w:sz w:val="20"/>
          <w:szCs w:val="20"/>
        </w:rPr>
        <w:t>UnionBank</w:t>
      </w:r>
      <w:proofErr w:type="spellEnd"/>
      <w:r w:rsidRPr="00BE736B">
        <w:rPr>
          <w:rFonts w:eastAsia="Times New Roman"/>
          <w:color w:val="000000"/>
          <w:sz w:val="20"/>
          <w:szCs w:val="20"/>
        </w:rPr>
        <w:t>; or</w:t>
      </w:r>
    </w:p>
    <w:p w14:paraId="6290A983" w14:textId="77777777" w:rsidR="001C5772" w:rsidRPr="00BE736B" w:rsidRDefault="001C5772" w:rsidP="001C5772">
      <w:pPr>
        <w:pStyle w:val="xmsonormal"/>
        <w:framePr w:hSpace="180" w:wrap="around" w:vAnchor="text" w:hAnchor="text" w:y="1"/>
        <w:numPr>
          <w:ilvl w:val="0"/>
          <w:numId w:val="11"/>
        </w:numPr>
        <w:rPr>
          <w:rFonts w:eastAsia="Times New Roman"/>
          <w:sz w:val="20"/>
          <w:szCs w:val="20"/>
        </w:rPr>
      </w:pPr>
      <w:proofErr w:type="spellStart"/>
      <w:r w:rsidRPr="00BE736B">
        <w:rPr>
          <w:rFonts w:eastAsia="Times New Roman"/>
          <w:color w:val="000000"/>
          <w:sz w:val="20"/>
          <w:szCs w:val="20"/>
        </w:rPr>
        <w:t>PESONet</w:t>
      </w:r>
      <w:proofErr w:type="spellEnd"/>
      <w:r w:rsidRPr="00BE736B">
        <w:rPr>
          <w:rFonts w:eastAsia="Times New Roman"/>
          <w:color w:val="000000"/>
          <w:sz w:val="20"/>
          <w:szCs w:val="20"/>
        </w:rPr>
        <w:t xml:space="preserve"> through LBP Link.biz Portal – for taxpayers who have account with RCBC and Robinson Bank; or</w:t>
      </w:r>
    </w:p>
    <w:p w14:paraId="62C3F9E7" w14:textId="77777777" w:rsidR="001C5772" w:rsidRPr="00BE736B" w:rsidRDefault="001C5772" w:rsidP="001C5772">
      <w:pPr>
        <w:pStyle w:val="xmsonormal"/>
        <w:framePr w:hSpace="180" w:wrap="around" w:vAnchor="text" w:hAnchor="text" w:y="1"/>
        <w:numPr>
          <w:ilvl w:val="0"/>
          <w:numId w:val="11"/>
        </w:numPr>
        <w:rPr>
          <w:rFonts w:eastAsia="Times New Roman"/>
          <w:sz w:val="20"/>
          <w:szCs w:val="20"/>
        </w:rPr>
      </w:pPr>
      <w:proofErr w:type="spellStart"/>
      <w:r w:rsidRPr="00BE736B">
        <w:rPr>
          <w:rFonts w:eastAsia="Times New Roman"/>
          <w:color w:val="000000"/>
          <w:sz w:val="20"/>
          <w:szCs w:val="20"/>
        </w:rPr>
        <w:t>Paymaya</w:t>
      </w:r>
      <w:proofErr w:type="spellEnd"/>
      <w:r w:rsidRPr="00BE736B">
        <w:rPr>
          <w:rFonts w:eastAsia="Times New Roman"/>
          <w:color w:val="000000"/>
          <w:sz w:val="20"/>
          <w:szCs w:val="20"/>
        </w:rPr>
        <w:t xml:space="preserve"> Mobile Payment.</w:t>
      </w:r>
    </w:p>
    <w:p w14:paraId="135701AA" w14:textId="77777777" w:rsidR="001C5772" w:rsidRPr="00BE736B" w:rsidRDefault="001C5772" w:rsidP="001C5772">
      <w:pPr>
        <w:pStyle w:val="ListParagraph"/>
        <w:ind w:left="360" w:right="720"/>
        <w:rPr>
          <w:rFonts w:ascii="Calibri" w:hAnsi="Calibri" w:cs="Calibri"/>
          <w:sz w:val="20"/>
          <w:szCs w:val="20"/>
        </w:rPr>
      </w:pPr>
    </w:p>
    <w:p w14:paraId="0BE79C12" w14:textId="77777777" w:rsidR="001C5772" w:rsidRPr="00BE736B" w:rsidRDefault="001C5772" w:rsidP="001C5772">
      <w:pPr>
        <w:pStyle w:val="ListParagraph"/>
        <w:ind w:left="360" w:right="720"/>
        <w:rPr>
          <w:rFonts w:ascii="Calibri" w:hAnsi="Calibri" w:cs="Calibri"/>
          <w:b/>
          <w:bCs/>
          <w:color w:val="000000" w:themeColor="text1"/>
          <w:sz w:val="20"/>
          <w:szCs w:val="20"/>
        </w:rPr>
      </w:pPr>
    </w:p>
    <w:p w14:paraId="4F5B12B0" w14:textId="77777777" w:rsidR="001C5772" w:rsidRPr="00BE736B" w:rsidRDefault="001C5772" w:rsidP="001C5772">
      <w:pPr>
        <w:pStyle w:val="ListParagraph"/>
        <w:spacing w:after="0" w:line="240" w:lineRule="auto"/>
        <w:ind w:right="720"/>
        <w:rPr>
          <w:rFonts w:ascii="Calibri" w:hAnsi="Calibri" w:cs="Calibri"/>
          <w:b/>
          <w:bCs/>
          <w:sz w:val="20"/>
          <w:szCs w:val="20"/>
        </w:rPr>
      </w:pPr>
      <w:r w:rsidRPr="00BE736B">
        <w:rPr>
          <w:rFonts w:ascii="Calibri" w:hAnsi="Calibri" w:cs="Calibri"/>
          <w:b/>
          <w:bCs/>
          <w:sz w:val="20"/>
          <w:szCs w:val="20"/>
        </w:rPr>
        <w:t>REVENUE MEMORANDUM CIRCULAR NO. 7-2021 (issued on January 8, 2021)</w:t>
      </w:r>
      <w:r w:rsidRPr="00BE736B">
        <w:rPr>
          <w:rFonts w:ascii="Calibri" w:hAnsi="Calibri" w:cs="Calibri"/>
          <w:sz w:val="20"/>
          <w:szCs w:val="20"/>
        </w:rPr>
        <w:t xml:space="preserve"> </w:t>
      </w:r>
      <w:r w:rsidRPr="00BE736B">
        <w:rPr>
          <w:rFonts w:ascii="Calibri" w:hAnsi="Calibri" w:cs="Calibri"/>
          <w:b/>
          <w:bCs/>
          <w:sz w:val="20"/>
          <w:szCs w:val="20"/>
        </w:rPr>
        <w:t xml:space="preserve">Availability of the </w:t>
      </w:r>
      <w:proofErr w:type="spellStart"/>
      <w:r w:rsidRPr="00BE736B">
        <w:rPr>
          <w:rFonts w:ascii="Calibri" w:hAnsi="Calibri" w:cs="Calibri"/>
          <w:b/>
          <w:bCs/>
          <w:sz w:val="20"/>
          <w:szCs w:val="20"/>
        </w:rPr>
        <w:t>Alphalist</w:t>
      </w:r>
      <w:proofErr w:type="spellEnd"/>
      <w:r w:rsidRPr="00BE736B">
        <w:rPr>
          <w:rFonts w:ascii="Calibri" w:hAnsi="Calibri" w:cs="Calibri"/>
          <w:b/>
          <w:bCs/>
          <w:sz w:val="20"/>
          <w:szCs w:val="20"/>
        </w:rPr>
        <w:t xml:space="preserve"> Data Entry and Validation Module (Version 7.0) and its Updated File Structures, Standard File Naming Convention, and </w:t>
      </w:r>
      <w:proofErr w:type="spellStart"/>
      <w:r w:rsidRPr="00BE736B">
        <w:rPr>
          <w:rFonts w:ascii="Calibri" w:hAnsi="Calibri" w:cs="Calibri"/>
          <w:b/>
          <w:bCs/>
          <w:sz w:val="20"/>
          <w:szCs w:val="20"/>
        </w:rPr>
        <w:t>JobAids</w:t>
      </w:r>
      <w:proofErr w:type="spellEnd"/>
    </w:p>
    <w:p w14:paraId="73E8D3F5" w14:textId="77777777" w:rsidR="001C5772" w:rsidRPr="00BE736B" w:rsidRDefault="001C5772" w:rsidP="001C5772">
      <w:pPr>
        <w:pStyle w:val="ListParagraph"/>
        <w:spacing w:after="0" w:line="240" w:lineRule="auto"/>
        <w:ind w:left="360" w:right="720"/>
        <w:rPr>
          <w:rFonts w:ascii="Calibri" w:hAnsi="Calibri" w:cs="Calibri"/>
          <w:b/>
          <w:bCs/>
          <w:sz w:val="20"/>
          <w:szCs w:val="20"/>
        </w:rPr>
      </w:pPr>
    </w:p>
    <w:p w14:paraId="46185F08" w14:textId="77777777" w:rsidR="001C5772" w:rsidRPr="00BE736B" w:rsidRDefault="001C5772" w:rsidP="001C5772">
      <w:pPr>
        <w:pStyle w:val="ListParagraph"/>
        <w:numPr>
          <w:ilvl w:val="0"/>
          <w:numId w:val="7"/>
        </w:numPr>
        <w:spacing w:after="0" w:line="240" w:lineRule="auto"/>
        <w:ind w:right="720"/>
        <w:rPr>
          <w:rFonts w:ascii="Calibri" w:hAnsi="Calibri" w:cs="Calibri"/>
          <w:sz w:val="20"/>
          <w:szCs w:val="20"/>
        </w:rPr>
      </w:pPr>
      <w:r w:rsidRPr="00BE736B">
        <w:rPr>
          <w:rFonts w:ascii="Calibri" w:hAnsi="Calibri" w:cs="Calibri"/>
          <w:sz w:val="20"/>
          <w:szCs w:val="20"/>
        </w:rPr>
        <w:t xml:space="preserve">The enhanced version now includes the </w:t>
      </w:r>
      <w:proofErr w:type="spellStart"/>
      <w:r w:rsidRPr="00BE736B">
        <w:rPr>
          <w:rFonts w:ascii="Calibri" w:hAnsi="Calibri" w:cs="Calibri"/>
          <w:sz w:val="20"/>
          <w:szCs w:val="20"/>
        </w:rPr>
        <w:t>alphalists</w:t>
      </w:r>
      <w:proofErr w:type="spellEnd"/>
      <w:r w:rsidRPr="00BE736B">
        <w:rPr>
          <w:rFonts w:ascii="Calibri" w:hAnsi="Calibri" w:cs="Calibri"/>
          <w:sz w:val="20"/>
          <w:szCs w:val="20"/>
        </w:rPr>
        <w:t xml:space="preserve"> for the following:</w:t>
      </w:r>
    </w:p>
    <w:p w14:paraId="300287A8" w14:textId="77777777" w:rsidR="001C5772" w:rsidRPr="00BE736B" w:rsidRDefault="001C5772" w:rsidP="001C5772">
      <w:pPr>
        <w:pStyle w:val="ListParagraph"/>
        <w:numPr>
          <w:ilvl w:val="1"/>
          <w:numId w:val="7"/>
        </w:numPr>
        <w:spacing w:after="0" w:line="240" w:lineRule="auto"/>
        <w:ind w:right="720"/>
        <w:rPr>
          <w:rFonts w:ascii="Calibri" w:hAnsi="Calibri" w:cs="Calibri"/>
          <w:sz w:val="20"/>
          <w:szCs w:val="20"/>
        </w:rPr>
      </w:pPr>
      <w:r w:rsidRPr="00BE736B">
        <w:rPr>
          <w:rFonts w:ascii="Calibri" w:hAnsi="Calibri" w:cs="Calibri"/>
          <w:sz w:val="20"/>
          <w:szCs w:val="20"/>
        </w:rPr>
        <w:t>BIR Form Nos. 1600-PT, 1600- V.T, 1604-C, 1604-F, 1604-E;</w:t>
      </w:r>
    </w:p>
    <w:p w14:paraId="6C1AF206" w14:textId="77777777" w:rsidR="001C5772" w:rsidRPr="00BE736B" w:rsidRDefault="001C5772" w:rsidP="001C5772">
      <w:pPr>
        <w:pStyle w:val="ListParagraph"/>
        <w:numPr>
          <w:ilvl w:val="1"/>
          <w:numId w:val="7"/>
        </w:numPr>
        <w:spacing w:after="0" w:line="240" w:lineRule="auto"/>
        <w:ind w:right="720"/>
        <w:rPr>
          <w:rFonts w:ascii="Calibri" w:hAnsi="Calibri" w:cs="Calibri"/>
          <w:sz w:val="20"/>
          <w:szCs w:val="20"/>
        </w:rPr>
      </w:pPr>
      <w:r w:rsidRPr="00BE736B">
        <w:rPr>
          <w:rFonts w:ascii="Calibri" w:hAnsi="Calibri" w:cs="Calibri"/>
          <w:sz w:val="20"/>
          <w:szCs w:val="20"/>
        </w:rPr>
        <w:t>The new BIR Form No. 1621 (Quarterly Remittance Return of Tax Withheld on the Amount Withdrawn from Decedent's Deposit Account)</w:t>
      </w:r>
    </w:p>
    <w:p w14:paraId="60C3C0A5" w14:textId="77777777" w:rsidR="001C5772" w:rsidRPr="00BE736B" w:rsidRDefault="001C5772" w:rsidP="001C5772">
      <w:pPr>
        <w:pStyle w:val="ListParagraph"/>
        <w:spacing w:after="0" w:line="240" w:lineRule="auto"/>
        <w:ind w:left="1800" w:right="720"/>
        <w:rPr>
          <w:rFonts w:ascii="Calibri" w:hAnsi="Calibri" w:cs="Calibri"/>
          <w:sz w:val="20"/>
          <w:szCs w:val="20"/>
        </w:rPr>
      </w:pPr>
    </w:p>
    <w:p w14:paraId="50C26C82" w14:textId="77777777" w:rsidR="001C5772" w:rsidRPr="00BE736B" w:rsidRDefault="001C5772" w:rsidP="001C5772">
      <w:pPr>
        <w:pStyle w:val="ListParagraph"/>
        <w:numPr>
          <w:ilvl w:val="0"/>
          <w:numId w:val="7"/>
        </w:numPr>
        <w:spacing w:after="0" w:line="240" w:lineRule="auto"/>
        <w:ind w:right="720"/>
        <w:rPr>
          <w:rFonts w:ascii="Calibri" w:hAnsi="Calibri" w:cs="Calibri"/>
          <w:sz w:val="20"/>
          <w:szCs w:val="20"/>
        </w:rPr>
      </w:pPr>
      <w:r w:rsidRPr="00BE736B">
        <w:rPr>
          <w:rFonts w:ascii="Calibri" w:hAnsi="Calibri" w:cs="Calibri"/>
          <w:sz w:val="20"/>
          <w:szCs w:val="20"/>
        </w:rPr>
        <w:t xml:space="preserve">In addition, the generation process of the annual </w:t>
      </w:r>
      <w:proofErr w:type="spellStart"/>
      <w:r w:rsidRPr="00BE736B">
        <w:rPr>
          <w:rFonts w:ascii="Calibri" w:hAnsi="Calibri" w:cs="Calibri"/>
          <w:sz w:val="20"/>
          <w:szCs w:val="20"/>
        </w:rPr>
        <w:t>alphalists</w:t>
      </w:r>
      <w:proofErr w:type="spellEnd"/>
      <w:r w:rsidRPr="00BE736B">
        <w:rPr>
          <w:rFonts w:ascii="Calibri" w:hAnsi="Calibri" w:cs="Calibri"/>
          <w:sz w:val="20"/>
          <w:szCs w:val="20"/>
        </w:rPr>
        <w:t xml:space="preserve"> for 1604-E and 1604-F has been simplified under the Quarterly </w:t>
      </w:r>
      <w:proofErr w:type="spellStart"/>
      <w:r w:rsidRPr="00BE736B">
        <w:rPr>
          <w:rFonts w:ascii="Calibri" w:hAnsi="Calibri" w:cs="Calibri"/>
          <w:sz w:val="20"/>
          <w:szCs w:val="20"/>
        </w:rPr>
        <w:t>Alphalists</w:t>
      </w:r>
      <w:proofErr w:type="spellEnd"/>
      <w:r w:rsidRPr="00BE736B">
        <w:rPr>
          <w:rFonts w:ascii="Calibri" w:hAnsi="Calibri" w:cs="Calibri"/>
          <w:sz w:val="20"/>
          <w:szCs w:val="20"/>
        </w:rPr>
        <w:t xml:space="preserve"> of Payees, thus eliminating the need of manual re-encoding the information.</w:t>
      </w:r>
    </w:p>
    <w:p w14:paraId="4DC986A6" w14:textId="77777777" w:rsidR="001C5772" w:rsidRPr="00BE736B" w:rsidRDefault="001C5772" w:rsidP="001C5772">
      <w:pPr>
        <w:pStyle w:val="ListParagraph"/>
        <w:spacing w:after="0" w:line="240" w:lineRule="auto"/>
        <w:ind w:left="1080" w:right="720"/>
        <w:rPr>
          <w:rFonts w:ascii="Calibri" w:hAnsi="Calibri" w:cs="Calibri"/>
          <w:sz w:val="20"/>
          <w:szCs w:val="20"/>
        </w:rPr>
      </w:pPr>
    </w:p>
    <w:p w14:paraId="473F7CD3" w14:textId="77777777" w:rsidR="001C5772" w:rsidRPr="00BE736B" w:rsidRDefault="001C5772" w:rsidP="001C5772">
      <w:pPr>
        <w:pStyle w:val="ListParagraph"/>
        <w:numPr>
          <w:ilvl w:val="0"/>
          <w:numId w:val="7"/>
        </w:numPr>
        <w:spacing w:after="0" w:line="240" w:lineRule="auto"/>
        <w:ind w:right="720"/>
        <w:rPr>
          <w:rFonts w:ascii="Calibri" w:hAnsi="Calibri" w:cs="Calibri"/>
          <w:sz w:val="20"/>
          <w:szCs w:val="20"/>
        </w:rPr>
      </w:pPr>
      <w:r w:rsidRPr="00BE736B">
        <w:rPr>
          <w:rFonts w:ascii="Calibri" w:hAnsi="Calibri" w:cs="Calibri"/>
          <w:sz w:val="20"/>
          <w:szCs w:val="20"/>
        </w:rPr>
        <w:t xml:space="preserve">In this connection, the revised file structures of the </w:t>
      </w:r>
      <w:proofErr w:type="spellStart"/>
      <w:r w:rsidRPr="00BE736B">
        <w:rPr>
          <w:rFonts w:ascii="Calibri" w:hAnsi="Calibri" w:cs="Calibri"/>
          <w:sz w:val="20"/>
          <w:szCs w:val="20"/>
        </w:rPr>
        <w:t>alphalists</w:t>
      </w:r>
      <w:proofErr w:type="spellEnd"/>
      <w:r w:rsidRPr="00BE736B">
        <w:rPr>
          <w:rFonts w:ascii="Calibri" w:hAnsi="Calibri" w:cs="Calibri"/>
          <w:sz w:val="20"/>
          <w:szCs w:val="20"/>
        </w:rPr>
        <w:t xml:space="preserve"> enumerated below, the revised standard file naming convention, and the revised job aids are contained in Annexes “A". "B", and "C" of this Circular</w:t>
      </w:r>
    </w:p>
    <w:p w14:paraId="69A4816B" w14:textId="77777777" w:rsidR="001C5772" w:rsidRPr="00BE736B" w:rsidRDefault="001C5772" w:rsidP="001C5772">
      <w:pPr>
        <w:pStyle w:val="ListParagraph"/>
        <w:rPr>
          <w:rFonts w:ascii="Calibri" w:hAnsi="Calibri" w:cs="Calibri"/>
          <w:sz w:val="20"/>
          <w:szCs w:val="20"/>
        </w:rPr>
      </w:pPr>
    </w:p>
    <w:p w14:paraId="6705CCBF" w14:textId="77777777" w:rsidR="001C5772" w:rsidRPr="00BE736B" w:rsidRDefault="001C5772" w:rsidP="001C5772">
      <w:pPr>
        <w:pStyle w:val="ListParagraph"/>
        <w:spacing w:after="0" w:line="240" w:lineRule="auto"/>
        <w:ind w:left="1080" w:right="720"/>
        <w:rPr>
          <w:rFonts w:ascii="Calibri" w:hAnsi="Calibri" w:cs="Calibri"/>
          <w:sz w:val="20"/>
          <w:szCs w:val="20"/>
        </w:rPr>
      </w:pPr>
    </w:p>
    <w:p w14:paraId="648CA449" w14:textId="77777777" w:rsidR="001C5772" w:rsidRPr="00BE736B" w:rsidRDefault="001C5772" w:rsidP="001C5772">
      <w:pPr>
        <w:framePr w:hSpace="180" w:wrap="around" w:vAnchor="text" w:hAnchor="text" w:y="1"/>
        <w:spacing w:after="0" w:line="240" w:lineRule="auto"/>
        <w:ind w:right="720"/>
        <w:jc w:val="both"/>
        <w:rPr>
          <w:rFonts w:ascii="Calibri" w:hAnsi="Calibri" w:cs="Calibri"/>
          <w:sz w:val="20"/>
          <w:szCs w:val="20"/>
        </w:rPr>
      </w:pPr>
      <w:r w:rsidRPr="00BE736B">
        <w:rPr>
          <w:rFonts w:ascii="Calibri" w:hAnsi="Calibri" w:cs="Calibri"/>
          <w:b/>
          <w:bCs/>
          <w:sz w:val="20"/>
          <w:szCs w:val="20"/>
        </w:rPr>
        <w:t>REVENUE MEMORANDUM CIRCULAR NO. 8-2021 (issued on January 8, 2021)</w:t>
      </w:r>
      <w:r w:rsidRPr="00BE736B">
        <w:rPr>
          <w:rFonts w:ascii="Calibri" w:hAnsi="Calibri" w:cs="Calibri"/>
          <w:sz w:val="20"/>
          <w:szCs w:val="20"/>
        </w:rPr>
        <w:t xml:space="preserve"> circularizes Republic Act (RA) No. 11467 which provided, among others, the VAT exemption of sale or importation of prescription drugs and medicines for diabetes, high cholesterol, and hypertension, and the increase in excise taxes on alcohol products, tobacco products and e-cigarettes. The effectivity is on January 27, 2021.</w:t>
      </w:r>
    </w:p>
    <w:p w14:paraId="028769C0" w14:textId="77777777" w:rsidR="001C5772" w:rsidRPr="00BE736B" w:rsidRDefault="001C5772" w:rsidP="001C5772">
      <w:pPr>
        <w:framePr w:hSpace="180" w:wrap="around" w:vAnchor="text" w:hAnchor="text" w:y="1"/>
        <w:spacing w:after="0" w:line="240" w:lineRule="auto"/>
        <w:ind w:right="720"/>
        <w:rPr>
          <w:rFonts w:ascii="Calibri" w:hAnsi="Calibri" w:cs="Calibri"/>
          <w:sz w:val="20"/>
          <w:szCs w:val="20"/>
        </w:rPr>
      </w:pPr>
    </w:p>
    <w:p w14:paraId="1FF0AD70" w14:textId="77777777" w:rsidR="001C5772" w:rsidRPr="00BE736B" w:rsidRDefault="001C5772" w:rsidP="001C5772">
      <w:pPr>
        <w:pStyle w:val="NoSpacing"/>
        <w:rPr>
          <w:rFonts w:ascii="Calibri" w:hAnsi="Calibri" w:cs="Calibri"/>
          <w:b/>
          <w:bCs/>
          <w:sz w:val="20"/>
          <w:szCs w:val="20"/>
        </w:rPr>
      </w:pPr>
    </w:p>
    <w:p w14:paraId="6F3A6E7D" w14:textId="77777777" w:rsidR="001C5772" w:rsidRPr="00BE736B" w:rsidRDefault="001C5772" w:rsidP="001C5772">
      <w:pPr>
        <w:pStyle w:val="NoSpacing"/>
        <w:rPr>
          <w:rFonts w:ascii="Calibri" w:hAnsi="Calibri" w:cs="Calibri"/>
          <w:b/>
          <w:bCs/>
          <w:sz w:val="20"/>
          <w:szCs w:val="20"/>
        </w:rPr>
      </w:pPr>
    </w:p>
    <w:p w14:paraId="2FADA939" w14:textId="77777777" w:rsidR="001C5772" w:rsidRPr="00BE736B" w:rsidRDefault="001C5772" w:rsidP="001C5772">
      <w:pPr>
        <w:pStyle w:val="NoSpacing"/>
        <w:numPr>
          <w:ilvl w:val="0"/>
          <w:numId w:val="6"/>
        </w:numPr>
        <w:rPr>
          <w:rFonts w:ascii="Calibri" w:hAnsi="Calibri" w:cs="Calibri"/>
          <w:b/>
          <w:bCs/>
          <w:sz w:val="20"/>
          <w:szCs w:val="20"/>
        </w:rPr>
      </w:pPr>
      <w:r w:rsidRPr="00BE736B">
        <w:rPr>
          <w:rFonts w:ascii="Calibri" w:hAnsi="Calibri" w:cs="Calibri"/>
          <w:b/>
          <w:bCs/>
          <w:sz w:val="20"/>
          <w:szCs w:val="20"/>
        </w:rPr>
        <w:t>REVENUE MEMORANDUM ORDER (“RMO”)</w:t>
      </w:r>
    </w:p>
    <w:p w14:paraId="3441B444" w14:textId="77777777" w:rsidR="001C5772" w:rsidRPr="00BE736B" w:rsidRDefault="001C5772" w:rsidP="001C5772">
      <w:pPr>
        <w:pStyle w:val="NoSpacing"/>
        <w:rPr>
          <w:rFonts w:ascii="Calibri" w:hAnsi="Calibri" w:cs="Calibri"/>
          <w:b/>
          <w:bCs/>
          <w:sz w:val="20"/>
          <w:szCs w:val="20"/>
        </w:rPr>
      </w:pPr>
    </w:p>
    <w:p w14:paraId="57AD7642" w14:textId="77777777" w:rsidR="001C5772" w:rsidRPr="00BE736B" w:rsidRDefault="001C5772" w:rsidP="001C5772">
      <w:pPr>
        <w:ind w:right="720"/>
        <w:rPr>
          <w:rFonts w:ascii="Calibri" w:hAnsi="Calibri" w:cs="Calibri"/>
          <w:b/>
          <w:bCs/>
          <w:sz w:val="20"/>
          <w:szCs w:val="20"/>
        </w:rPr>
      </w:pPr>
      <w:r w:rsidRPr="00BE736B">
        <w:rPr>
          <w:rFonts w:ascii="Calibri" w:hAnsi="Calibri" w:cs="Calibri"/>
          <w:b/>
          <w:bCs/>
          <w:sz w:val="20"/>
          <w:szCs w:val="20"/>
        </w:rPr>
        <w:t>REVENUE MEMORANDUM ORDER NO. 47-2020 (January 8, 2021)</w:t>
      </w:r>
      <w:r w:rsidRPr="00BE736B">
        <w:rPr>
          <w:rFonts w:ascii="Calibri" w:hAnsi="Calibri" w:cs="Calibri"/>
          <w:sz w:val="20"/>
          <w:szCs w:val="20"/>
        </w:rPr>
        <w:t xml:space="preserve"> </w:t>
      </w:r>
      <w:r w:rsidRPr="00BE736B">
        <w:rPr>
          <w:rFonts w:ascii="Calibri" w:hAnsi="Calibri" w:cs="Calibri"/>
          <w:b/>
          <w:bCs/>
          <w:sz w:val="20"/>
          <w:szCs w:val="20"/>
        </w:rPr>
        <w:t>Consolidated and Updated Guidelines and Procedures on the Processing of Claims for Value-Added Tax Credit/ Refund Except Those Under the Authority and Jurisdiction of the Legal Group</w:t>
      </w:r>
    </w:p>
    <w:p w14:paraId="349EAED9" w14:textId="77777777" w:rsidR="001C5772" w:rsidRPr="00BE736B" w:rsidRDefault="001C5772" w:rsidP="001C5772">
      <w:pPr>
        <w:pStyle w:val="ListParagraph"/>
        <w:ind w:left="360" w:right="720"/>
        <w:rPr>
          <w:rFonts w:ascii="Calibri" w:hAnsi="Calibri" w:cs="Calibri"/>
          <w:b/>
          <w:bCs/>
          <w:sz w:val="20"/>
          <w:szCs w:val="20"/>
        </w:rPr>
      </w:pPr>
    </w:p>
    <w:p w14:paraId="46A691C0"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All offices concerned shall prioritize the processing of VAT credit/refund claims filed over other claims not requiring the immediate issuance of Tax Credit Certificates (TCCs)/refund checks.</w:t>
      </w:r>
    </w:p>
    <w:p w14:paraId="7F324132" w14:textId="77777777" w:rsidR="001C5772" w:rsidRPr="00BE736B" w:rsidRDefault="001C5772" w:rsidP="001C5772">
      <w:pPr>
        <w:pStyle w:val="ListParagraph"/>
        <w:ind w:left="1080" w:right="720"/>
        <w:rPr>
          <w:rFonts w:ascii="Calibri" w:hAnsi="Calibri" w:cs="Calibri"/>
          <w:sz w:val="20"/>
          <w:szCs w:val="20"/>
        </w:rPr>
      </w:pPr>
    </w:p>
    <w:p w14:paraId="45FC222F"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The processing offices authorized to receive “Application for VAT Credit/Refund Claims” (BIR Form No. 1914) are as follows:</w:t>
      </w:r>
    </w:p>
    <w:p w14:paraId="74B84B33" w14:textId="77777777" w:rsidR="001C5772" w:rsidRPr="00BE736B" w:rsidRDefault="001C5772" w:rsidP="001C5772">
      <w:pPr>
        <w:pStyle w:val="ListParagraph"/>
        <w:rPr>
          <w:rFonts w:ascii="Calibri" w:hAnsi="Calibri" w:cs="Calibri"/>
          <w:sz w:val="20"/>
          <w:szCs w:val="20"/>
        </w:rPr>
      </w:pPr>
    </w:p>
    <w:p w14:paraId="5D29D378" w14:textId="77777777" w:rsidR="001C5772" w:rsidRPr="00BE736B" w:rsidRDefault="001C5772" w:rsidP="001C5772">
      <w:pPr>
        <w:pStyle w:val="ListParagraph"/>
        <w:ind w:left="1080" w:right="720"/>
        <w:rPr>
          <w:rFonts w:ascii="Calibri" w:hAnsi="Calibri" w:cs="Calibri"/>
          <w:sz w:val="20"/>
          <w:szCs w:val="20"/>
        </w:rPr>
      </w:pPr>
    </w:p>
    <w:p w14:paraId="28A28AD2" w14:textId="77777777" w:rsidR="001C5772" w:rsidRPr="00BE736B" w:rsidRDefault="001C5772" w:rsidP="001C5772">
      <w:pPr>
        <w:pStyle w:val="ListParagraph"/>
        <w:numPr>
          <w:ilvl w:val="1"/>
          <w:numId w:val="7"/>
        </w:numPr>
        <w:ind w:right="720"/>
        <w:rPr>
          <w:rFonts w:ascii="Calibri" w:hAnsi="Calibri" w:cs="Calibri"/>
          <w:sz w:val="20"/>
          <w:szCs w:val="20"/>
        </w:rPr>
      </w:pPr>
      <w:r w:rsidRPr="00BE736B">
        <w:rPr>
          <w:rFonts w:ascii="Calibri" w:hAnsi="Calibri" w:cs="Calibri"/>
          <w:sz w:val="20"/>
          <w:szCs w:val="20"/>
        </w:rPr>
        <w:t>The VAT Credit Audit Division (VCAD) in the National Office shall receive claims of direct exporters regardless of the percentage of export sales to total sales and whose claims are anchored under Section 112 (A) of the Tax Code, as amended with the exception of the claims with a mix of VAT zero-rated sales emanating from sales of power or fuel from renewable energy sources pursuant to Section 108(B)(7) of the Tax Code, as amended;</w:t>
      </w:r>
    </w:p>
    <w:p w14:paraId="7EB46729" w14:textId="77777777" w:rsidR="001C5772" w:rsidRPr="00BE736B" w:rsidRDefault="001C5772" w:rsidP="001C5772">
      <w:pPr>
        <w:pStyle w:val="ListParagraph"/>
        <w:numPr>
          <w:ilvl w:val="1"/>
          <w:numId w:val="7"/>
        </w:numPr>
        <w:ind w:right="720"/>
        <w:rPr>
          <w:rFonts w:ascii="Calibri" w:hAnsi="Calibri" w:cs="Calibri"/>
          <w:sz w:val="20"/>
          <w:szCs w:val="20"/>
        </w:rPr>
      </w:pPr>
      <w:r w:rsidRPr="00BE736B">
        <w:rPr>
          <w:rFonts w:ascii="Calibri" w:hAnsi="Calibri" w:cs="Calibri"/>
          <w:sz w:val="20"/>
          <w:szCs w:val="20"/>
        </w:rPr>
        <w:t xml:space="preserve">The Revenue District Office (RDO)/Large Taxpayers Audit Division (LTAD) under the Large Taxpayers Service (LTS) where the taxpayer is registered having jurisdiction over the taxpayer-claimant shall receive claims of taxpayers engaged in other VAT zero-rated taxpayers, other than direct exporters, such as renewable energy </w:t>
      </w:r>
      <w:r w:rsidRPr="00BE736B">
        <w:rPr>
          <w:rFonts w:ascii="Calibri" w:hAnsi="Calibri" w:cs="Calibri"/>
          <w:sz w:val="20"/>
          <w:szCs w:val="20"/>
        </w:rPr>
        <w:lastRenderedPageBreak/>
        <w:t>developers pursuant to Section 108(B)(7) of the Tax Code, as amended, and those with indirect exports classified as effectively VAT zero-rated sales, pursuant to Section 112 (A) of the Tax Code, as amended, and in Section II(2)(a) of this Order;</w:t>
      </w:r>
    </w:p>
    <w:p w14:paraId="69E69E08" w14:textId="77777777" w:rsidR="001C5772" w:rsidRPr="00BE736B" w:rsidRDefault="001C5772" w:rsidP="001C5772">
      <w:pPr>
        <w:pStyle w:val="ListParagraph"/>
        <w:numPr>
          <w:ilvl w:val="1"/>
          <w:numId w:val="7"/>
        </w:numPr>
        <w:ind w:right="720"/>
        <w:rPr>
          <w:rFonts w:ascii="Calibri" w:hAnsi="Calibri" w:cs="Calibri"/>
          <w:sz w:val="20"/>
          <w:szCs w:val="20"/>
        </w:rPr>
      </w:pPr>
      <w:r w:rsidRPr="00BE736B">
        <w:rPr>
          <w:rFonts w:ascii="Calibri" w:hAnsi="Calibri" w:cs="Calibri"/>
          <w:sz w:val="20"/>
          <w:szCs w:val="20"/>
        </w:rPr>
        <w:t>The RDO/LTAD having jurisdiction over the taxpayer-claimant shall receive claims of taxpayers whose VAT registration has been cancelled and those claims for recovery of erroneously or illegally assessed or collected VAT pursuant to Sections 112 (B) and 229, respectively, of the Tax Code, as amended.</w:t>
      </w:r>
    </w:p>
    <w:p w14:paraId="4F4988C6" w14:textId="77777777" w:rsidR="001C5772" w:rsidRPr="00BE736B" w:rsidRDefault="001C5772" w:rsidP="001C5772">
      <w:pPr>
        <w:pStyle w:val="ListParagraph"/>
        <w:ind w:left="1800" w:right="720"/>
        <w:rPr>
          <w:rFonts w:ascii="Calibri" w:hAnsi="Calibri" w:cs="Calibri"/>
          <w:sz w:val="20"/>
          <w:szCs w:val="20"/>
        </w:rPr>
      </w:pPr>
    </w:p>
    <w:p w14:paraId="5310F509"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Only applications with complete documentary requirements, as enumerated in the Checklist of Requirements (Annexes A.1, A.2 or A.3), whichever is applicable, and which are filed within the prescribed period, shall be received by the authorized processing office.</w:t>
      </w:r>
    </w:p>
    <w:p w14:paraId="4C9543B1" w14:textId="77777777" w:rsidR="001C5772" w:rsidRPr="00BE736B" w:rsidRDefault="001C5772" w:rsidP="001C5772">
      <w:pPr>
        <w:pStyle w:val="ListParagraph"/>
        <w:ind w:left="1080" w:right="720"/>
        <w:rPr>
          <w:rFonts w:ascii="Calibri" w:hAnsi="Calibri" w:cs="Calibri"/>
          <w:sz w:val="20"/>
          <w:szCs w:val="20"/>
        </w:rPr>
      </w:pPr>
    </w:p>
    <w:p w14:paraId="1552CCF2"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One of the documentary requirements is the Delinquency Verification Certificate (DVC) prescribed in Revenue Memorandum Circular No. 64-2019 (Annex “B”) showing that the taxpayer has no outstanding (final and executory) tax liabilities as defined under Section II (1) of Revenue Memorandum Order No. 11-2014. Hence, the application shall not be accepted if such tax liabilities appear on the DVC, except for outstanding VAT liability which may be deducted from the approved BIR portion of the claim.</w:t>
      </w:r>
    </w:p>
    <w:p w14:paraId="248D2C1E" w14:textId="77777777" w:rsidR="001C5772" w:rsidRPr="00BE736B" w:rsidRDefault="001C5772" w:rsidP="001C5772">
      <w:pPr>
        <w:pStyle w:val="ListParagraph"/>
        <w:ind w:left="1080" w:right="720"/>
        <w:rPr>
          <w:rFonts w:ascii="Calibri" w:hAnsi="Calibri" w:cs="Calibri"/>
          <w:sz w:val="20"/>
          <w:szCs w:val="20"/>
        </w:rPr>
      </w:pPr>
    </w:p>
    <w:p w14:paraId="56E24A52" w14:textId="77777777" w:rsidR="001C5772" w:rsidRPr="00BE736B" w:rsidRDefault="001C5772" w:rsidP="001C5772">
      <w:pPr>
        <w:pStyle w:val="ListParagraph"/>
        <w:ind w:left="1080" w:right="720"/>
        <w:rPr>
          <w:rFonts w:ascii="Calibri" w:hAnsi="Calibri" w:cs="Calibri"/>
          <w:sz w:val="20"/>
          <w:szCs w:val="20"/>
        </w:rPr>
      </w:pPr>
      <w:r w:rsidRPr="00BE736B">
        <w:rPr>
          <w:rFonts w:ascii="Calibri" w:hAnsi="Calibri" w:cs="Calibri"/>
          <w:sz w:val="20"/>
          <w:szCs w:val="20"/>
        </w:rPr>
        <w:t xml:space="preserve">Applications where the DVC shows delinquent accounts other than VAT shall not be received. The claimant </w:t>
      </w:r>
      <w:proofErr w:type="gramStart"/>
      <w:r w:rsidRPr="00BE736B">
        <w:rPr>
          <w:rFonts w:ascii="Calibri" w:hAnsi="Calibri" w:cs="Calibri"/>
          <w:sz w:val="20"/>
          <w:szCs w:val="20"/>
        </w:rPr>
        <w:t>has to</w:t>
      </w:r>
      <w:proofErr w:type="gramEnd"/>
      <w:r w:rsidRPr="00BE736B">
        <w:rPr>
          <w:rFonts w:ascii="Calibri" w:hAnsi="Calibri" w:cs="Calibri"/>
          <w:sz w:val="20"/>
          <w:szCs w:val="20"/>
        </w:rPr>
        <w:t xml:space="preserve"> settle first the tax liabilities so that a DVC with no tax liabilities can be issued by the concerned DVC-issuing office. If the delinquent accounts pertain to VAT liability and the amount is lower than the amount of claim on local purchases, the application shall be accepted. </w:t>
      </w:r>
    </w:p>
    <w:p w14:paraId="424A1A4F" w14:textId="77777777" w:rsidR="001C5772" w:rsidRPr="00BE736B" w:rsidRDefault="001C5772" w:rsidP="001C5772">
      <w:pPr>
        <w:pStyle w:val="ListParagraph"/>
        <w:ind w:left="1080" w:right="720"/>
        <w:rPr>
          <w:rFonts w:ascii="Calibri" w:hAnsi="Calibri" w:cs="Calibri"/>
          <w:sz w:val="20"/>
          <w:szCs w:val="20"/>
        </w:rPr>
      </w:pPr>
    </w:p>
    <w:p w14:paraId="2FE01F78" w14:textId="77777777" w:rsidR="001C5772" w:rsidRPr="00BE736B" w:rsidRDefault="001C5772" w:rsidP="001C5772">
      <w:pPr>
        <w:pStyle w:val="ListParagraph"/>
        <w:ind w:left="1080" w:right="720"/>
        <w:rPr>
          <w:rFonts w:ascii="Calibri" w:hAnsi="Calibri" w:cs="Calibri"/>
          <w:sz w:val="20"/>
          <w:szCs w:val="20"/>
        </w:rPr>
      </w:pPr>
      <w:r w:rsidRPr="00BE736B">
        <w:rPr>
          <w:rFonts w:ascii="Calibri" w:hAnsi="Calibri" w:cs="Calibri"/>
          <w:sz w:val="20"/>
          <w:szCs w:val="20"/>
        </w:rPr>
        <w:t xml:space="preserve">For claims where the outstanding VAT liability has been deducted from the claim, the processing office shall prepare a list of taxpayers whose claims for tax refunds were deducted with outstanding delinquent tax liabilities therefrom and furnish the same to the Revenue Accounting Division (RAD) for claims filed in the BIR National Office or Finance Division for claims filed in the Regional Offices together with the copy of the approved report. </w:t>
      </w:r>
    </w:p>
    <w:p w14:paraId="4423FF1B" w14:textId="77777777" w:rsidR="001C5772" w:rsidRPr="00BE736B" w:rsidRDefault="001C5772" w:rsidP="001C5772">
      <w:pPr>
        <w:pStyle w:val="ListParagraph"/>
        <w:ind w:left="1080" w:right="720"/>
        <w:rPr>
          <w:rFonts w:ascii="Calibri" w:hAnsi="Calibri" w:cs="Calibri"/>
          <w:sz w:val="20"/>
          <w:szCs w:val="20"/>
        </w:rPr>
      </w:pPr>
    </w:p>
    <w:p w14:paraId="33FE97B6" w14:textId="77777777" w:rsidR="001C5772" w:rsidRPr="00BE736B" w:rsidRDefault="001C5772" w:rsidP="001C5772">
      <w:pPr>
        <w:pStyle w:val="ListParagraph"/>
        <w:ind w:left="1080" w:right="720"/>
        <w:rPr>
          <w:rFonts w:ascii="Calibri" w:hAnsi="Calibri" w:cs="Calibri"/>
          <w:sz w:val="20"/>
          <w:szCs w:val="20"/>
        </w:rPr>
      </w:pPr>
      <w:r w:rsidRPr="00BE736B">
        <w:rPr>
          <w:rFonts w:ascii="Calibri" w:hAnsi="Calibri" w:cs="Calibri"/>
          <w:sz w:val="20"/>
          <w:szCs w:val="20"/>
        </w:rPr>
        <w:t>Even if the outstanding liability is VAT but the claim is purely from importations or the claim includes input VAT on importations, and the BIR portion thereof is not enough to cover payment for the VAT liability, the application shall not be accepted unless there is proof that the liability has been paid in full by the taxpayer.</w:t>
      </w:r>
    </w:p>
    <w:p w14:paraId="490EDFFB" w14:textId="77777777" w:rsidR="001C5772" w:rsidRPr="00BE736B" w:rsidRDefault="001C5772" w:rsidP="001C5772">
      <w:pPr>
        <w:pStyle w:val="ListParagraph"/>
        <w:ind w:left="1080" w:right="720"/>
        <w:rPr>
          <w:rFonts w:ascii="Calibri" w:hAnsi="Calibri" w:cs="Calibri"/>
          <w:sz w:val="20"/>
          <w:szCs w:val="20"/>
        </w:rPr>
      </w:pPr>
    </w:p>
    <w:p w14:paraId="5AB3893B"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Tax Verification Notices (TVNs) shall be issued by the head of the processing office to authorize the verification of VAT credit refund claims filed under Sections 112 and Section 229 of the Tax Code, as amended. The TVNs shall still be manually issued until such time that the Tax Verification Notice Monitoring System (TVNMS)/Case Management System (CMS) are fully operational. The received application shall be encoded in the Tax Credit Refund module under the Internal Revenue Integrated System (IRIS) once the said system is deployed to concerned BIR offices.</w:t>
      </w:r>
    </w:p>
    <w:p w14:paraId="34A48F99" w14:textId="77777777" w:rsidR="001C5772" w:rsidRPr="00BE736B" w:rsidRDefault="001C5772" w:rsidP="001C5772">
      <w:pPr>
        <w:pStyle w:val="ListParagraph"/>
        <w:ind w:left="1080" w:right="720"/>
        <w:rPr>
          <w:rFonts w:ascii="Calibri" w:hAnsi="Calibri" w:cs="Calibri"/>
          <w:sz w:val="20"/>
          <w:szCs w:val="20"/>
        </w:rPr>
      </w:pPr>
    </w:p>
    <w:p w14:paraId="2825C164"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 xml:space="preserve">Pursuant to Section 112 (C) of the Tax Code, as amended, the time frame to grant claims for VAT refund is ninety (90) days from the date of submission of the official receipts or invoices and other documents in support of the application. Thus, the start of the 90-day period is </w:t>
      </w:r>
      <w:r w:rsidRPr="00BE736B">
        <w:rPr>
          <w:rFonts w:ascii="Calibri" w:hAnsi="Calibri" w:cs="Calibri"/>
          <w:sz w:val="20"/>
          <w:szCs w:val="20"/>
        </w:rPr>
        <w:lastRenderedPageBreak/>
        <w:t>from the actual filing of the application with complete documents duly received by the processing office.</w:t>
      </w:r>
    </w:p>
    <w:p w14:paraId="4B78E6E1" w14:textId="77777777" w:rsidR="001C5772" w:rsidRPr="00BE736B" w:rsidRDefault="001C5772" w:rsidP="001C5772">
      <w:pPr>
        <w:pStyle w:val="ListParagraph"/>
        <w:rPr>
          <w:rFonts w:ascii="Calibri" w:hAnsi="Calibri" w:cs="Calibri"/>
          <w:sz w:val="20"/>
          <w:szCs w:val="20"/>
        </w:rPr>
      </w:pPr>
    </w:p>
    <w:p w14:paraId="783E1F80"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The claims shall be processed based on submitted documents for verification by the assigned Revenue Officer (RO)/Group Supervisor (GS). This process shall not be construed as an audit/investigation; hence, the claimant may be issued subsequently an electronic Letter of Authority (LA) by an authorized office for that purpose. However, the books of accounts and accounting records that may have relevance to the claim of the taxpayer may be examined and verified upon request of the assigned RO.</w:t>
      </w:r>
    </w:p>
    <w:p w14:paraId="024B6292" w14:textId="77777777" w:rsidR="001C5772" w:rsidRPr="00BE736B" w:rsidRDefault="001C5772" w:rsidP="001C5772">
      <w:pPr>
        <w:pStyle w:val="ListParagraph"/>
        <w:rPr>
          <w:rFonts w:ascii="Calibri" w:hAnsi="Calibri" w:cs="Calibri"/>
          <w:sz w:val="20"/>
          <w:szCs w:val="20"/>
        </w:rPr>
      </w:pPr>
    </w:p>
    <w:p w14:paraId="21113243"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The reports of verification from the processing offices shall be forwarded to the following offices for review prior to approval by the approving official:</w:t>
      </w:r>
    </w:p>
    <w:p w14:paraId="2BC2092A" w14:textId="77777777" w:rsidR="001C5772" w:rsidRPr="00BE736B" w:rsidRDefault="001C5772" w:rsidP="001C5772">
      <w:pPr>
        <w:pStyle w:val="ListParagraph"/>
        <w:numPr>
          <w:ilvl w:val="1"/>
          <w:numId w:val="7"/>
        </w:numPr>
        <w:ind w:right="720"/>
        <w:rPr>
          <w:rFonts w:ascii="Calibri" w:hAnsi="Calibri" w:cs="Calibri"/>
          <w:sz w:val="20"/>
          <w:szCs w:val="20"/>
        </w:rPr>
      </w:pPr>
      <w:r w:rsidRPr="00BE736B">
        <w:rPr>
          <w:rFonts w:ascii="Calibri" w:hAnsi="Calibri" w:cs="Calibri"/>
          <w:sz w:val="20"/>
          <w:szCs w:val="20"/>
        </w:rPr>
        <w:t>Tax Audit Review Division (TARD) for dockets from the VCAD</w:t>
      </w:r>
    </w:p>
    <w:p w14:paraId="4DE64C0D" w14:textId="77777777" w:rsidR="001C5772" w:rsidRPr="00BE736B" w:rsidRDefault="001C5772" w:rsidP="001C5772">
      <w:pPr>
        <w:pStyle w:val="ListParagraph"/>
        <w:numPr>
          <w:ilvl w:val="1"/>
          <w:numId w:val="7"/>
        </w:numPr>
        <w:ind w:right="720"/>
        <w:rPr>
          <w:rFonts w:ascii="Calibri" w:hAnsi="Calibri" w:cs="Calibri"/>
          <w:sz w:val="20"/>
          <w:szCs w:val="20"/>
        </w:rPr>
      </w:pPr>
      <w:r w:rsidRPr="00BE736B">
        <w:rPr>
          <w:rFonts w:ascii="Calibri" w:hAnsi="Calibri" w:cs="Calibri"/>
          <w:sz w:val="20"/>
          <w:szCs w:val="20"/>
        </w:rPr>
        <w:t xml:space="preserve">Regional Assessment Division for dockets from the RDO </w:t>
      </w:r>
    </w:p>
    <w:p w14:paraId="1700669E" w14:textId="77777777" w:rsidR="001C5772" w:rsidRPr="00BE736B" w:rsidRDefault="001C5772" w:rsidP="001C5772">
      <w:pPr>
        <w:pStyle w:val="ListParagraph"/>
        <w:numPr>
          <w:ilvl w:val="1"/>
          <w:numId w:val="7"/>
        </w:numPr>
        <w:ind w:right="720"/>
        <w:rPr>
          <w:rFonts w:ascii="Calibri" w:hAnsi="Calibri" w:cs="Calibri"/>
          <w:sz w:val="20"/>
          <w:szCs w:val="20"/>
        </w:rPr>
      </w:pPr>
      <w:r w:rsidRPr="00BE736B">
        <w:rPr>
          <w:rFonts w:ascii="Calibri" w:hAnsi="Calibri" w:cs="Calibri"/>
          <w:sz w:val="20"/>
          <w:szCs w:val="20"/>
        </w:rPr>
        <w:t>Office of the concerned Head Revenue Executive Assistant of the LTS for dockets from the LTAD</w:t>
      </w:r>
    </w:p>
    <w:p w14:paraId="056D715A" w14:textId="77777777" w:rsidR="001C5772" w:rsidRPr="00BE736B" w:rsidRDefault="001C5772" w:rsidP="001C5772">
      <w:pPr>
        <w:pStyle w:val="ListParagraph"/>
        <w:ind w:left="1800" w:right="720"/>
        <w:rPr>
          <w:rFonts w:ascii="Calibri" w:hAnsi="Calibri" w:cs="Calibri"/>
          <w:sz w:val="20"/>
          <w:szCs w:val="20"/>
        </w:rPr>
      </w:pPr>
    </w:p>
    <w:p w14:paraId="52A234C7"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 xml:space="preserve">The following are the revenue officials authorized to approve/disapprove the claims: </w:t>
      </w:r>
    </w:p>
    <w:tbl>
      <w:tblPr>
        <w:tblStyle w:val="TableGrid"/>
        <w:tblW w:w="0" w:type="auto"/>
        <w:tblInd w:w="1080" w:type="dxa"/>
        <w:tblLook w:val="04A0" w:firstRow="1" w:lastRow="0" w:firstColumn="1" w:lastColumn="0" w:noHBand="0" w:noVBand="1"/>
      </w:tblPr>
      <w:tblGrid>
        <w:gridCol w:w="2537"/>
        <w:gridCol w:w="2677"/>
        <w:gridCol w:w="3056"/>
      </w:tblGrid>
      <w:tr w:rsidR="001C5772" w:rsidRPr="00BE736B" w14:paraId="5286BA4B" w14:textId="77777777" w:rsidTr="00BE736B">
        <w:tc>
          <w:tcPr>
            <w:tcW w:w="1525" w:type="dxa"/>
            <w:vAlign w:val="center"/>
          </w:tcPr>
          <w:p w14:paraId="33CFA124" w14:textId="77777777" w:rsidR="001C5772" w:rsidRPr="00BE736B" w:rsidRDefault="001C5772" w:rsidP="00BE736B">
            <w:pPr>
              <w:pStyle w:val="ListParagraph"/>
              <w:ind w:right="720"/>
              <w:rPr>
                <w:rFonts w:ascii="Calibri" w:hAnsi="Calibri" w:cs="Calibri"/>
                <w:b/>
                <w:bCs/>
                <w:sz w:val="20"/>
                <w:szCs w:val="20"/>
              </w:rPr>
            </w:pPr>
            <w:r w:rsidRPr="00BE736B">
              <w:rPr>
                <w:rFonts w:ascii="Calibri" w:hAnsi="Calibri" w:cs="Calibri"/>
                <w:b/>
                <w:bCs/>
                <w:sz w:val="20"/>
                <w:szCs w:val="20"/>
              </w:rPr>
              <w:t>Processing Office</w:t>
            </w:r>
          </w:p>
        </w:tc>
        <w:tc>
          <w:tcPr>
            <w:tcW w:w="3060" w:type="dxa"/>
            <w:vAlign w:val="center"/>
          </w:tcPr>
          <w:p w14:paraId="3F65BCAB" w14:textId="77777777" w:rsidR="001C5772" w:rsidRPr="00BE736B" w:rsidRDefault="001C5772" w:rsidP="00BE736B">
            <w:pPr>
              <w:pStyle w:val="ListParagraph"/>
              <w:ind w:right="720"/>
              <w:rPr>
                <w:rFonts w:ascii="Calibri" w:hAnsi="Calibri" w:cs="Calibri"/>
                <w:b/>
                <w:bCs/>
                <w:sz w:val="20"/>
                <w:szCs w:val="20"/>
              </w:rPr>
            </w:pPr>
            <w:r w:rsidRPr="00BE736B">
              <w:rPr>
                <w:rFonts w:ascii="Calibri" w:hAnsi="Calibri" w:cs="Calibri"/>
                <w:b/>
                <w:bCs/>
                <w:sz w:val="20"/>
                <w:szCs w:val="20"/>
              </w:rPr>
              <w:t>Amount of Claim</w:t>
            </w:r>
          </w:p>
        </w:tc>
        <w:tc>
          <w:tcPr>
            <w:tcW w:w="3685" w:type="dxa"/>
            <w:vAlign w:val="center"/>
          </w:tcPr>
          <w:p w14:paraId="3D03B6C0" w14:textId="77777777" w:rsidR="001C5772" w:rsidRPr="00BE736B" w:rsidRDefault="001C5772" w:rsidP="00BE736B">
            <w:pPr>
              <w:pStyle w:val="ListParagraph"/>
              <w:ind w:right="720"/>
              <w:rPr>
                <w:rFonts w:ascii="Calibri" w:hAnsi="Calibri" w:cs="Calibri"/>
                <w:b/>
                <w:bCs/>
                <w:sz w:val="20"/>
                <w:szCs w:val="20"/>
              </w:rPr>
            </w:pPr>
            <w:r w:rsidRPr="00BE736B">
              <w:rPr>
                <w:rFonts w:ascii="Calibri" w:hAnsi="Calibri" w:cs="Calibri"/>
                <w:b/>
                <w:bCs/>
                <w:sz w:val="20"/>
                <w:szCs w:val="20"/>
              </w:rPr>
              <w:t>Approving Revenue Official</w:t>
            </w:r>
          </w:p>
        </w:tc>
      </w:tr>
      <w:tr w:rsidR="001C5772" w:rsidRPr="00BE736B" w14:paraId="09C6C695" w14:textId="77777777" w:rsidTr="00BE736B">
        <w:tc>
          <w:tcPr>
            <w:tcW w:w="1525" w:type="dxa"/>
          </w:tcPr>
          <w:p w14:paraId="15A5A138"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VCAD</w:t>
            </w:r>
          </w:p>
        </w:tc>
        <w:tc>
          <w:tcPr>
            <w:tcW w:w="3060" w:type="dxa"/>
          </w:tcPr>
          <w:p w14:paraId="0E26B03F"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Not more than ₱ 50 Million</w:t>
            </w:r>
          </w:p>
          <w:p w14:paraId="7D441EA0" w14:textId="77777777" w:rsidR="001C5772" w:rsidRPr="00BE736B" w:rsidRDefault="001C5772" w:rsidP="00BE736B">
            <w:pPr>
              <w:pStyle w:val="ListParagraph"/>
              <w:ind w:right="720"/>
              <w:rPr>
                <w:rFonts w:ascii="Calibri" w:hAnsi="Calibri" w:cs="Calibri"/>
                <w:sz w:val="20"/>
                <w:szCs w:val="20"/>
              </w:rPr>
            </w:pPr>
          </w:p>
          <w:p w14:paraId="3957D3BD" w14:textId="77777777" w:rsidR="001C5772" w:rsidRPr="00BE736B" w:rsidRDefault="001C5772" w:rsidP="00BE736B">
            <w:pPr>
              <w:pStyle w:val="ListParagraph"/>
              <w:ind w:right="720"/>
              <w:rPr>
                <w:rFonts w:ascii="Calibri" w:hAnsi="Calibri" w:cs="Calibri"/>
                <w:sz w:val="20"/>
                <w:szCs w:val="20"/>
              </w:rPr>
            </w:pPr>
          </w:p>
          <w:p w14:paraId="7962DDFC"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More than ₱ 50 Million up to ₱ 150 Million</w:t>
            </w:r>
          </w:p>
          <w:p w14:paraId="60EB1511" w14:textId="77777777" w:rsidR="001C5772" w:rsidRPr="00BE736B" w:rsidRDefault="001C5772" w:rsidP="00BE736B">
            <w:pPr>
              <w:pStyle w:val="ListParagraph"/>
              <w:ind w:right="720"/>
              <w:rPr>
                <w:rFonts w:ascii="Calibri" w:hAnsi="Calibri" w:cs="Calibri"/>
                <w:sz w:val="20"/>
                <w:szCs w:val="20"/>
              </w:rPr>
            </w:pPr>
          </w:p>
          <w:p w14:paraId="35940538"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More than ₱ 150 Million</w:t>
            </w:r>
          </w:p>
        </w:tc>
        <w:tc>
          <w:tcPr>
            <w:tcW w:w="3685" w:type="dxa"/>
          </w:tcPr>
          <w:p w14:paraId="0A98F93B"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Assistant Commissioner (ACIR)</w:t>
            </w:r>
          </w:p>
          <w:p w14:paraId="299E15A4"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Assessment Service (AS)</w:t>
            </w:r>
          </w:p>
          <w:p w14:paraId="30B0F9D0" w14:textId="77777777" w:rsidR="001C5772" w:rsidRPr="00BE736B" w:rsidRDefault="001C5772" w:rsidP="00BE736B">
            <w:pPr>
              <w:pStyle w:val="ListParagraph"/>
              <w:ind w:right="720"/>
              <w:rPr>
                <w:rFonts w:ascii="Calibri" w:hAnsi="Calibri" w:cs="Calibri"/>
                <w:sz w:val="20"/>
                <w:szCs w:val="20"/>
              </w:rPr>
            </w:pPr>
          </w:p>
          <w:p w14:paraId="106C741C"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Deputy Commissioner (DCIR) – Operations Group (OG)</w:t>
            </w:r>
          </w:p>
          <w:p w14:paraId="2BAF1DF4" w14:textId="77777777" w:rsidR="001C5772" w:rsidRPr="00BE736B" w:rsidRDefault="001C5772" w:rsidP="00BE736B">
            <w:pPr>
              <w:pStyle w:val="ListParagraph"/>
              <w:ind w:right="720"/>
              <w:rPr>
                <w:rFonts w:ascii="Calibri" w:hAnsi="Calibri" w:cs="Calibri"/>
                <w:sz w:val="20"/>
                <w:szCs w:val="20"/>
              </w:rPr>
            </w:pPr>
          </w:p>
          <w:p w14:paraId="781CF3ED"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Commissioner (CIR)</w:t>
            </w:r>
          </w:p>
        </w:tc>
      </w:tr>
      <w:tr w:rsidR="001C5772" w:rsidRPr="00BE736B" w14:paraId="3DF74351" w14:textId="77777777" w:rsidTr="00BE736B">
        <w:tc>
          <w:tcPr>
            <w:tcW w:w="1525" w:type="dxa"/>
          </w:tcPr>
          <w:p w14:paraId="29BD02CB"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LTAD under LTS</w:t>
            </w:r>
          </w:p>
        </w:tc>
        <w:tc>
          <w:tcPr>
            <w:tcW w:w="3060" w:type="dxa"/>
            <w:vAlign w:val="center"/>
          </w:tcPr>
          <w:p w14:paraId="5320F638"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Regardless of amount</w:t>
            </w:r>
          </w:p>
        </w:tc>
        <w:tc>
          <w:tcPr>
            <w:tcW w:w="3685" w:type="dxa"/>
            <w:vAlign w:val="center"/>
          </w:tcPr>
          <w:p w14:paraId="32929F55"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ACIR-LTS</w:t>
            </w:r>
          </w:p>
        </w:tc>
      </w:tr>
      <w:tr w:rsidR="001C5772" w:rsidRPr="00BE736B" w14:paraId="51820A96" w14:textId="77777777" w:rsidTr="00BE736B">
        <w:tc>
          <w:tcPr>
            <w:tcW w:w="1525" w:type="dxa"/>
          </w:tcPr>
          <w:p w14:paraId="51DE402F"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RDO</w:t>
            </w:r>
          </w:p>
        </w:tc>
        <w:tc>
          <w:tcPr>
            <w:tcW w:w="3060" w:type="dxa"/>
            <w:vAlign w:val="center"/>
          </w:tcPr>
          <w:p w14:paraId="56512909"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Regardless of amount</w:t>
            </w:r>
          </w:p>
        </w:tc>
        <w:tc>
          <w:tcPr>
            <w:tcW w:w="3685" w:type="dxa"/>
            <w:vAlign w:val="center"/>
          </w:tcPr>
          <w:p w14:paraId="02A00F92" w14:textId="77777777" w:rsidR="001C5772" w:rsidRPr="00BE736B" w:rsidRDefault="001C5772" w:rsidP="00BE736B">
            <w:pPr>
              <w:pStyle w:val="ListParagraph"/>
              <w:ind w:right="720"/>
              <w:rPr>
                <w:rFonts w:ascii="Calibri" w:hAnsi="Calibri" w:cs="Calibri"/>
                <w:sz w:val="20"/>
                <w:szCs w:val="20"/>
              </w:rPr>
            </w:pPr>
            <w:r w:rsidRPr="00BE736B">
              <w:rPr>
                <w:rFonts w:ascii="Calibri" w:hAnsi="Calibri" w:cs="Calibri"/>
                <w:sz w:val="20"/>
                <w:szCs w:val="20"/>
              </w:rPr>
              <w:t>Regional Director</w:t>
            </w:r>
          </w:p>
        </w:tc>
      </w:tr>
    </w:tbl>
    <w:p w14:paraId="04DCFF54" w14:textId="77777777" w:rsidR="001C5772" w:rsidRPr="00BE736B" w:rsidRDefault="001C5772" w:rsidP="001C5772">
      <w:pPr>
        <w:ind w:right="720"/>
        <w:rPr>
          <w:rFonts w:ascii="Calibri" w:hAnsi="Calibri" w:cs="Calibri"/>
          <w:sz w:val="20"/>
          <w:szCs w:val="20"/>
        </w:rPr>
      </w:pPr>
    </w:p>
    <w:p w14:paraId="2D3BF409"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The result of the verification of the claim, whether approval or denial, shall be communicated to the taxpayer-claimant, which shall be signed by the authorized revenue official and shall be sent by the originating processing office.</w:t>
      </w:r>
    </w:p>
    <w:p w14:paraId="700DD1C9" w14:textId="77777777" w:rsidR="001C5772" w:rsidRPr="00BE736B" w:rsidRDefault="001C5772" w:rsidP="001C5772">
      <w:pPr>
        <w:pStyle w:val="ListParagraph"/>
        <w:ind w:left="1080" w:right="720"/>
        <w:rPr>
          <w:rFonts w:ascii="Calibri" w:hAnsi="Calibri" w:cs="Calibri"/>
          <w:sz w:val="20"/>
          <w:szCs w:val="20"/>
        </w:rPr>
      </w:pPr>
    </w:p>
    <w:p w14:paraId="5D360806" w14:textId="77777777" w:rsidR="001C5772" w:rsidRPr="00BE736B" w:rsidRDefault="001C5772" w:rsidP="001C5772">
      <w:pPr>
        <w:pStyle w:val="ListParagraph"/>
        <w:numPr>
          <w:ilvl w:val="0"/>
          <w:numId w:val="7"/>
        </w:numPr>
        <w:ind w:right="720"/>
        <w:rPr>
          <w:rFonts w:ascii="Calibri" w:hAnsi="Calibri" w:cs="Calibri"/>
          <w:sz w:val="20"/>
          <w:szCs w:val="20"/>
        </w:rPr>
      </w:pPr>
      <w:r w:rsidRPr="00BE736B">
        <w:rPr>
          <w:rFonts w:ascii="Calibri" w:hAnsi="Calibri" w:cs="Calibri"/>
          <w:sz w:val="20"/>
          <w:szCs w:val="20"/>
        </w:rPr>
        <w:t>Manually issued TCCs shall be converted by the concerned office to the Tax Credit Refund System in the ITS until any subsequent development upon the roll-out of the Internal Revenue Integrated System (IRIS).</w:t>
      </w:r>
    </w:p>
    <w:p w14:paraId="7CDEBFB1" w14:textId="77777777" w:rsidR="001C5772" w:rsidRPr="00BE736B" w:rsidRDefault="001C5772" w:rsidP="001C5772">
      <w:pPr>
        <w:pStyle w:val="NoSpacing"/>
        <w:rPr>
          <w:rFonts w:ascii="Calibri" w:hAnsi="Calibri" w:cs="Calibri"/>
          <w:sz w:val="20"/>
          <w:szCs w:val="20"/>
        </w:rPr>
      </w:pPr>
    </w:p>
    <w:p w14:paraId="086CF0A0" w14:textId="77777777" w:rsidR="001C5772" w:rsidRPr="00BE736B" w:rsidRDefault="001C5772" w:rsidP="001C5772">
      <w:pPr>
        <w:pStyle w:val="NoSpacing"/>
        <w:rPr>
          <w:rFonts w:ascii="Calibri" w:hAnsi="Calibri" w:cs="Calibri"/>
          <w:sz w:val="20"/>
          <w:szCs w:val="20"/>
        </w:rPr>
      </w:pPr>
    </w:p>
    <w:p w14:paraId="5657DF66" w14:textId="77777777" w:rsidR="001C5772" w:rsidRPr="00BE736B" w:rsidRDefault="001C5772" w:rsidP="001C5772">
      <w:pPr>
        <w:pStyle w:val="ListParagraph"/>
        <w:ind w:left="360" w:right="720"/>
        <w:rPr>
          <w:rFonts w:ascii="Calibri" w:hAnsi="Calibri" w:cs="Calibri"/>
          <w:b/>
          <w:bCs/>
          <w:sz w:val="20"/>
          <w:szCs w:val="20"/>
        </w:rPr>
      </w:pPr>
      <w:r w:rsidRPr="00BE736B">
        <w:rPr>
          <w:rFonts w:ascii="Calibri" w:hAnsi="Calibri" w:cs="Calibri"/>
          <w:b/>
          <w:bCs/>
          <w:sz w:val="20"/>
          <w:szCs w:val="20"/>
        </w:rPr>
        <w:lastRenderedPageBreak/>
        <w:t xml:space="preserve">RMO No. 1-2021 (issued on January 4, 2021) Revised Office Audit Threshold for Cases to be Audited/Investigated by the Office Audit Section (OAS) of the Assessment Division in the Regional Offices </w:t>
      </w:r>
    </w:p>
    <w:p w14:paraId="04222B84" w14:textId="77777777" w:rsidR="001C5772" w:rsidRPr="00BE736B" w:rsidRDefault="001C5772" w:rsidP="001C5772">
      <w:pPr>
        <w:pStyle w:val="ListParagraph"/>
        <w:ind w:left="360" w:right="720"/>
        <w:rPr>
          <w:rFonts w:ascii="Calibri" w:hAnsi="Calibri" w:cs="Calibri"/>
          <w:sz w:val="20"/>
          <w:szCs w:val="20"/>
        </w:rPr>
      </w:pPr>
    </w:p>
    <w:p w14:paraId="2DEC2A2A" w14:textId="77777777" w:rsidR="001C5772" w:rsidRPr="00BE736B" w:rsidRDefault="001C5772" w:rsidP="001C5772">
      <w:pPr>
        <w:pStyle w:val="ListParagraph"/>
        <w:numPr>
          <w:ilvl w:val="0"/>
          <w:numId w:val="8"/>
        </w:numPr>
        <w:spacing w:after="0" w:line="240" w:lineRule="auto"/>
        <w:ind w:left="540"/>
        <w:rPr>
          <w:rFonts w:ascii="Calibri" w:hAnsi="Calibri" w:cs="Calibri"/>
          <w:sz w:val="20"/>
          <w:szCs w:val="20"/>
        </w:rPr>
      </w:pPr>
      <w:r w:rsidRPr="00BE736B">
        <w:rPr>
          <w:rFonts w:ascii="Calibri" w:hAnsi="Calibri" w:cs="Calibri"/>
          <w:sz w:val="20"/>
          <w:szCs w:val="20"/>
        </w:rPr>
        <w:t>The threshold for the issuance of electronic Letters of Authority (</w:t>
      </w:r>
      <w:proofErr w:type="spellStart"/>
      <w:r w:rsidRPr="00BE736B">
        <w:rPr>
          <w:rFonts w:ascii="Calibri" w:hAnsi="Calibri" w:cs="Calibri"/>
          <w:sz w:val="20"/>
          <w:szCs w:val="20"/>
        </w:rPr>
        <w:t>eLAs</w:t>
      </w:r>
      <w:proofErr w:type="spellEnd"/>
      <w:r w:rsidRPr="00BE736B">
        <w:rPr>
          <w:rFonts w:ascii="Calibri" w:hAnsi="Calibri" w:cs="Calibri"/>
          <w:sz w:val="20"/>
          <w:szCs w:val="20"/>
        </w:rPr>
        <w:t>) to cover the audit/investigation of taxpayers under the jurisdiction of the Regional Office shall be as follows:</w:t>
      </w:r>
    </w:p>
    <w:p w14:paraId="581A6479" w14:textId="77777777" w:rsidR="001C5772" w:rsidRPr="00BE736B" w:rsidRDefault="001C5772" w:rsidP="001C5772">
      <w:pPr>
        <w:pStyle w:val="ListParagraph"/>
        <w:spacing w:after="0" w:line="240" w:lineRule="auto"/>
        <w:ind w:left="1800"/>
        <w:rPr>
          <w:rFonts w:ascii="Calibri" w:hAnsi="Calibri" w:cs="Calibri"/>
          <w:sz w:val="20"/>
          <w:szCs w:val="20"/>
        </w:rPr>
      </w:pPr>
    </w:p>
    <w:tbl>
      <w:tblPr>
        <w:tblStyle w:val="TableGrid"/>
        <w:tblW w:w="0" w:type="auto"/>
        <w:tblLook w:val="04A0" w:firstRow="1" w:lastRow="0" w:firstColumn="1" w:lastColumn="0" w:noHBand="0" w:noVBand="1"/>
      </w:tblPr>
      <w:tblGrid>
        <w:gridCol w:w="3116"/>
        <w:gridCol w:w="3117"/>
        <w:gridCol w:w="3117"/>
      </w:tblGrid>
      <w:tr w:rsidR="001C5772" w:rsidRPr="00BE736B" w14:paraId="0D001732" w14:textId="77777777" w:rsidTr="00BE736B">
        <w:trPr>
          <w:tblHeader/>
        </w:trPr>
        <w:tc>
          <w:tcPr>
            <w:tcW w:w="3116" w:type="dxa"/>
          </w:tcPr>
          <w:p w14:paraId="078D6049" w14:textId="77777777" w:rsidR="001C5772" w:rsidRPr="00BE736B" w:rsidRDefault="001C5772" w:rsidP="00BE736B">
            <w:pPr>
              <w:ind w:right="720"/>
              <w:rPr>
                <w:rFonts w:ascii="Calibri" w:hAnsi="Calibri" w:cs="Calibri"/>
                <w:b/>
                <w:bCs/>
                <w:sz w:val="20"/>
                <w:szCs w:val="20"/>
              </w:rPr>
            </w:pPr>
            <w:r w:rsidRPr="00BE736B">
              <w:rPr>
                <w:rFonts w:ascii="Calibri" w:hAnsi="Calibri" w:cs="Calibri"/>
                <w:b/>
                <w:bCs/>
                <w:sz w:val="20"/>
                <w:szCs w:val="20"/>
              </w:rPr>
              <w:t>RR</w:t>
            </w:r>
          </w:p>
        </w:tc>
        <w:tc>
          <w:tcPr>
            <w:tcW w:w="3117" w:type="dxa"/>
          </w:tcPr>
          <w:p w14:paraId="55B37A54" w14:textId="77777777" w:rsidR="001C5772" w:rsidRPr="00BE736B" w:rsidRDefault="001C5772" w:rsidP="00BE736B">
            <w:pPr>
              <w:ind w:right="720"/>
              <w:rPr>
                <w:rFonts w:ascii="Calibri" w:hAnsi="Calibri" w:cs="Calibri"/>
                <w:b/>
                <w:bCs/>
                <w:sz w:val="20"/>
                <w:szCs w:val="20"/>
              </w:rPr>
            </w:pPr>
            <w:r w:rsidRPr="00BE736B">
              <w:rPr>
                <w:rFonts w:ascii="Calibri" w:hAnsi="Calibri" w:cs="Calibri"/>
                <w:b/>
                <w:bCs/>
                <w:sz w:val="20"/>
                <w:szCs w:val="20"/>
              </w:rPr>
              <w:t>RDOs</w:t>
            </w:r>
          </w:p>
        </w:tc>
        <w:tc>
          <w:tcPr>
            <w:tcW w:w="3117" w:type="dxa"/>
          </w:tcPr>
          <w:p w14:paraId="6168CFFD" w14:textId="77777777" w:rsidR="001C5772" w:rsidRPr="00BE736B" w:rsidRDefault="001C5772" w:rsidP="00BE736B">
            <w:pPr>
              <w:ind w:right="720"/>
              <w:rPr>
                <w:rFonts w:ascii="Calibri" w:hAnsi="Calibri" w:cs="Calibri"/>
                <w:b/>
                <w:bCs/>
                <w:sz w:val="20"/>
                <w:szCs w:val="20"/>
              </w:rPr>
            </w:pPr>
            <w:r w:rsidRPr="00BE736B">
              <w:rPr>
                <w:rFonts w:ascii="Calibri" w:hAnsi="Calibri" w:cs="Calibri"/>
                <w:b/>
                <w:bCs/>
                <w:sz w:val="20"/>
                <w:szCs w:val="20"/>
              </w:rPr>
              <w:t>Gross Sales/Receipts</w:t>
            </w:r>
          </w:p>
        </w:tc>
      </w:tr>
      <w:tr w:rsidR="001C5772" w:rsidRPr="00BE736B" w14:paraId="4AFF8F3E" w14:textId="77777777" w:rsidTr="00BE736B">
        <w:tc>
          <w:tcPr>
            <w:tcW w:w="3116" w:type="dxa"/>
          </w:tcPr>
          <w:p w14:paraId="57869D6C"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 xml:space="preserve">1 – </w:t>
            </w:r>
            <w:proofErr w:type="spellStart"/>
            <w:r w:rsidRPr="00BE736B">
              <w:rPr>
                <w:rFonts w:ascii="Calibri" w:hAnsi="Calibri" w:cs="Calibri"/>
                <w:sz w:val="20"/>
                <w:szCs w:val="20"/>
              </w:rPr>
              <w:t>Calasiao</w:t>
            </w:r>
            <w:proofErr w:type="spellEnd"/>
          </w:p>
        </w:tc>
        <w:tc>
          <w:tcPr>
            <w:tcW w:w="3117" w:type="dxa"/>
          </w:tcPr>
          <w:p w14:paraId="62522447"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All RDOs</w:t>
            </w:r>
          </w:p>
        </w:tc>
        <w:tc>
          <w:tcPr>
            <w:tcW w:w="3117" w:type="dxa"/>
          </w:tcPr>
          <w:p w14:paraId="0446B527" w14:textId="77777777" w:rsidR="001C5772" w:rsidRPr="00BE736B" w:rsidRDefault="001C5772" w:rsidP="00BE736B">
            <w:pPr>
              <w:ind w:right="160"/>
              <w:rPr>
                <w:rFonts w:ascii="Calibri" w:hAnsi="Calibri" w:cs="Calibri"/>
                <w:sz w:val="20"/>
                <w:szCs w:val="20"/>
              </w:rPr>
            </w:pPr>
            <w:r w:rsidRPr="00BE736B">
              <w:rPr>
                <w:rFonts w:ascii="Calibri" w:hAnsi="Calibri" w:cs="Calibri"/>
                <w:sz w:val="20"/>
                <w:szCs w:val="20"/>
              </w:rPr>
              <w:t xml:space="preserve">Ten Million Pesos </w:t>
            </w:r>
          </w:p>
          <w:p w14:paraId="27A0483A" w14:textId="77777777" w:rsidR="001C5772" w:rsidRPr="00BE736B" w:rsidRDefault="001C5772" w:rsidP="00BE736B">
            <w:pPr>
              <w:ind w:right="160"/>
              <w:rPr>
                <w:rFonts w:ascii="Calibri" w:hAnsi="Calibri" w:cs="Calibri"/>
                <w:sz w:val="20"/>
                <w:szCs w:val="20"/>
              </w:rPr>
            </w:pPr>
            <w:r w:rsidRPr="00BE736B">
              <w:rPr>
                <w:rFonts w:ascii="Calibri" w:hAnsi="Calibri" w:cs="Calibri"/>
                <w:sz w:val="20"/>
                <w:szCs w:val="20"/>
              </w:rPr>
              <w:t>(</w:t>
            </w: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r w:rsidR="001C5772" w:rsidRPr="00BE736B" w14:paraId="04A0877B" w14:textId="77777777" w:rsidTr="00BE736B">
        <w:tc>
          <w:tcPr>
            <w:tcW w:w="3116" w:type="dxa"/>
            <w:vMerge w:val="restart"/>
          </w:tcPr>
          <w:p w14:paraId="492723E0"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2 – Cordillera Administrative Region</w:t>
            </w:r>
          </w:p>
        </w:tc>
        <w:tc>
          <w:tcPr>
            <w:tcW w:w="3117" w:type="dxa"/>
          </w:tcPr>
          <w:p w14:paraId="7D9826DB"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8 – Baguio City</w:t>
            </w:r>
          </w:p>
          <w:p w14:paraId="5117A1A2"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9 – La Trinidad, Benguet</w:t>
            </w:r>
          </w:p>
        </w:tc>
        <w:tc>
          <w:tcPr>
            <w:tcW w:w="3117" w:type="dxa"/>
          </w:tcPr>
          <w:p w14:paraId="12A0AA48" w14:textId="77777777" w:rsidR="001C5772" w:rsidRPr="00BE736B" w:rsidRDefault="001C5772" w:rsidP="00BE736B">
            <w:pPr>
              <w:ind w:right="160"/>
              <w:rPr>
                <w:rFonts w:ascii="Calibri" w:hAnsi="Calibri" w:cs="Calibri"/>
                <w:sz w:val="20"/>
                <w:szCs w:val="20"/>
              </w:rPr>
            </w:pPr>
            <w:r w:rsidRPr="00BE736B">
              <w:rPr>
                <w:rFonts w:ascii="Calibri" w:hAnsi="Calibri" w:cs="Calibri"/>
                <w:sz w:val="20"/>
                <w:szCs w:val="20"/>
              </w:rPr>
              <w:t xml:space="preserve">Five Million Pesos </w:t>
            </w:r>
          </w:p>
          <w:p w14:paraId="38B14B3F" w14:textId="77777777" w:rsidR="001C5772" w:rsidRPr="00BE736B" w:rsidRDefault="001C5772" w:rsidP="00BE736B">
            <w:pPr>
              <w:ind w:right="160"/>
              <w:rPr>
                <w:rFonts w:ascii="Calibri" w:hAnsi="Calibri" w:cs="Calibri"/>
                <w:sz w:val="20"/>
                <w:szCs w:val="20"/>
              </w:rPr>
            </w:pPr>
            <w:r w:rsidRPr="00BE736B">
              <w:rPr>
                <w:rFonts w:ascii="Calibri" w:hAnsi="Calibri" w:cs="Calibri"/>
                <w:sz w:val="20"/>
                <w:szCs w:val="20"/>
              </w:rPr>
              <w:t>(</w:t>
            </w: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653F1334" w14:textId="77777777" w:rsidTr="00BE736B">
        <w:tc>
          <w:tcPr>
            <w:tcW w:w="3116" w:type="dxa"/>
            <w:vMerge/>
          </w:tcPr>
          <w:p w14:paraId="1D7A3A20" w14:textId="77777777" w:rsidR="001C5772" w:rsidRPr="00BE736B" w:rsidRDefault="001C5772" w:rsidP="00BE736B">
            <w:pPr>
              <w:ind w:right="720"/>
              <w:rPr>
                <w:rFonts w:ascii="Calibri" w:hAnsi="Calibri" w:cs="Calibri"/>
                <w:sz w:val="20"/>
                <w:szCs w:val="20"/>
              </w:rPr>
            </w:pPr>
          </w:p>
        </w:tc>
        <w:tc>
          <w:tcPr>
            <w:tcW w:w="3117" w:type="dxa"/>
          </w:tcPr>
          <w:p w14:paraId="75149931"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7 – </w:t>
            </w:r>
            <w:proofErr w:type="spellStart"/>
            <w:r w:rsidRPr="00BE736B">
              <w:rPr>
                <w:rFonts w:ascii="Calibri" w:hAnsi="Calibri" w:cs="Calibri"/>
                <w:sz w:val="20"/>
                <w:szCs w:val="20"/>
              </w:rPr>
              <w:t>Bangued</w:t>
            </w:r>
            <w:proofErr w:type="spellEnd"/>
            <w:r w:rsidRPr="00BE736B">
              <w:rPr>
                <w:rFonts w:ascii="Calibri" w:hAnsi="Calibri" w:cs="Calibri"/>
                <w:sz w:val="20"/>
                <w:szCs w:val="20"/>
              </w:rPr>
              <w:t xml:space="preserve">, </w:t>
            </w:r>
            <w:proofErr w:type="spellStart"/>
            <w:r w:rsidRPr="00BE736B">
              <w:rPr>
                <w:rFonts w:ascii="Calibri" w:hAnsi="Calibri" w:cs="Calibri"/>
                <w:sz w:val="20"/>
                <w:szCs w:val="20"/>
              </w:rPr>
              <w:t>Abra</w:t>
            </w:r>
            <w:proofErr w:type="spellEnd"/>
          </w:p>
          <w:p w14:paraId="3245D627"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10 – </w:t>
            </w:r>
            <w:proofErr w:type="spellStart"/>
            <w:r w:rsidRPr="00BE736B">
              <w:rPr>
                <w:rFonts w:ascii="Calibri" w:hAnsi="Calibri" w:cs="Calibri"/>
                <w:sz w:val="20"/>
                <w:szCs w:val="20"/>
              </w:rPr>
              <w:t>Bontoc</w:t>
            </w:r>
            <w:proofErr w:type="spellEnd"/>
            <w:r w:rsidRPr="00BE736B">
              <w:rPr>
                <w:rFonts w:ascii="Calibri" w:hAnsi="Calibri" w:cs="Calibri"/>
                <w:sz w:val="20"/>
                <w:szCs w:val="20"/>
              </w:rPr>
              <w:t>, Mt. Province</w:t>
            </w:r>
          </w:p>
          <w:p w14:paraId="3C3558A1"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11 – Tabuk City, Kalinga</w:t>
            </w:r>
          </w:p>
          <w:p w14:paraId="6595F6BF"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12 – </w:t>
            </w:r>
            <w:proofErr w:type="spellStart"/>
            <w:r w:rsidRPr="00BE736B">
              <w:rPr>
                <w:rFonts w:ascii="Calibri" w:hAnsi="Calibri" w:cs="Calibri"/>
                <w:sz w:val="20"/>
                <w:szCs w:val="20"/>
              </w:rPr>
              <w:t>Lagawe</w:t>
            </w:r>
            <w:proofErr w:type="spellEnd"/>
            <w:r w:rsidRPr="00BE736B">
              <w:rPr>
                <w:rFonts w:ascii="Calibri" w:hAnsi="Calibri" w:cs="Calibri"/>
                <w:sz w:val="20"/>
                <w:szCs w:val="20"/>
              </w:rPr>
              <w:t>, Ifugao</w:t>
            </w:r>
          </w:p>
        </w:tc>
        <w:tc>
          <w:tcPr>
            <w:tcW w:w="3117" w:type="dxa"/>
          </w:tcPr>
          <w:p w14:paraId="4527EA8F" w14:textId="77777777" w:rsidR="001C5772" w:rsidRPr="00BE736B" w:rsidRDefault="001C5772" w:rsidP="00BE736B">
            <w:pPr>
              <w:ind w:right="160"/>
              <w:rPr>
                <w:rFonts w:ascii="Calibri" w:hAnsi="Calibri" w:cs="Calibri"/>
                <w:sz w:val="20"/>
                <w:szCs w:val="20"/>
              </w:rPr>
            </w:pPr>
            <w:r w:rsidRPr="00BE736B">
              <w:rPr>
                <w:rFonts w:ascii="Calibri" w:hAnsi="Calibri" w:cs="Calibri"/>
                <w:sz w:val="20"/>
                <w:szCs w:val="20"/>
              </w:rPr>
              <w:t xml:space="preserve">Three Million Pesos </w:t>
            </w:r>
          </w:p>
          <w:p w14:paraId="275E3C61" w14:textId="77777777" w:rsidR="001C5772" w:rsidRPr="00BE736B" w:rsidRDefault="001C5772" w:rsidP="00BE736B">
            <w:pPr>
              <w:ind w:right="160"/>
              <w:rPr>
                <w:rFonts w:ascii="Calibri" w:hAnsi="Calibri" w:cs="Calibri"/>
                <w:sz w:val="20"/>
                <w:szCs w:val="20"/>
              </w:rPr>
            </w:pPr>
            <w:r w:rsidRPr="00BE736B">
              <w:rPr>
                <w:rFonts w:ascii="Calibri" w:hAnsi="Calibri" w:cs="Calibri"/>
                <w:sz w:val="20"/>
                <w:szCs w:val="20"/>
              </w:rPr>
              <w:t>(</w:t>
            </w:r>
            <w:r w:rsidRPr="00BE736B">
              <w:rPr>
                <w:rFonts w:ascii="Calibri" w:hAnsi="Calibri" w:cs="Calibri"/>
                <w:dstrike/>
                <w:sz w:val="20"/>
                <w:szCs w:val="20"/>
              </w:rPr>
              <w:t>P</w:t>
            </w:r>
            <w:r w:rsidRPr="00BE736B">
              <w:rPr>
                <w:rFonts w:ascii="Calibri" w:hAnsi="Calibri" w:cs="Calibri"/>
                <w:sz w:val="20"/>
                <w:szCs w:val="20"/>
              </w:rPr>
              <w:t xml:space="preserve"> 3,000,000.00) and below</w:t>
            </w:r>
          </w:p>
        </w:tc>
      </w:tr>
      <w:tr w:rsidR="001C5772" w:rsidRPr="00BE736B" w14:paraId="5E6C0153" w14:textId="77777777" w:rsidTr="00BE736B">
        <w:tc>
          <w:tcPr>
            <w:tcW w:w="3116" w:type="dxa"/>
            <w:vMerge w:val="restart"/>
          </w:tcPr>
          <w:p w14:paraId="3FD0940C"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3 – Tuguegarao City</w:t>
            </w:r>
          </w:p>
        </w:tc>
        <w:tc>
          <w:tcPr>
            <w:tcW w:w="3117" w:type="dxa"/>
          </w:tcPr>
          <w:p w14:paraId="3FCC6840"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13 – Tuguegarao, Cagayan</w:t>
            </w:r>
          </w:p>
          <w:p w14:paraId="1FC83B90"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15 – </w:t>
            </w:r>
            <w:proofErr w:type="spellStart"/>
            <w:r w:rsidRPr="00BE736B">
              <w:rPr>
                <w:rFonts w:ascii="Calibri" w:hAnsi="Calibri" w:cs="Calibri"/>
                <w:sz w:val="20"/>
                <w:szCs w:val="20"/>
              </w:rPr>
              <w:t>Naguilan</w:t>
            </w:r>
            <w:proofErr w:type="spellEnd"/>
            <w:r w:rsidRPr="00BE736B">
              <w:rPr>
                <w:rFonts w:ascii="Calibri" w:hAnsi="Calibri" w:cs="Calibri"/>
                <w:sz w:val="20"/>
                <w:szCs w:val="20"/>
              </w:rPr>
              <w:t>, Isabela</w:t>
            </w:r>
          </w:p>
        </w:tc>
        <w:tc>
          <w:tcPr>
            <w:tcW w:w="3117" w:type="dxa"/>
          </w:tcPr>
          <w:p w14:paraId="5FA1D4C2"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26803FC2" w14:textId="77777777" w:rsidTr="00BE736B">
        <w:tc>
          <w:tcPr>
            <w:tcW w:w="3116" w:type="dxa"/>
            <w:vMerge/>
          </w:tcPr>
          <w:p w14:paraId="707BA7BD" w14:textId="77777777" w:rsidR="001C5772" w:rsidRPr="00BE736B" w:rsidRDefault="001C5772" w:rsidP="00BE736B">
            <w:pPr>
              <w:ind w:right="720"/>
              <w:rPr>
                <w:rFonts w:ascii="Calibri" w:hAnsi="Calibri" w:cs="Calibri"/>
                <w:sz w:val="20"/>
                <w:szCs w:val="20"/>
              </w:rPr>
            </w:pPr>
          </w:p>
        </w:tc>
        <w:tc>
          <w:tcPr>
            <w:tcW w:w="3117" w:type="dxa"/>
          </w:tcPr>
          <w:p w14:paraId="52DEEEA7"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14 – Bayombong, Nueva </w:t>
            </w:r>
            <w:proofErr w:type="spellStart"/>
            <w:r w:rsidRPr="00BE736B">
              <w:rPr>
                <w:rFonts w:ascii="Calibri" w:hAnsi="Calibri" w:cs="Calibri"/>
                <w:sz w:val="20"/>
                <w:szCs w:val="20"/>
              </w:rPr>
              <w:t>Viscaya</w:t>
            </w:r>
            <w:proofErr w:type="spellEnd"/>
          </w:p>
          <w:p w14:paraId="4D765336"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16 – </w:t>
            </w:r>
            <w:proofErr w:type="spellStart"/>
            <w:r w:rsidRPr="00BE736B">
              <w:rPr>
                <w:rFonts w:ascii="Calibri" w:hAnsi="Calibri" w:cs="Calibri"/>
                <w:sz w:val="20"/>
                <w:szCs w:val="20"/>
              </w:rPr>
              <w:t>Cabarroguis</w:t>
            </w:r>
            <w:proofErr w:type="spellEnd"/>
            <w:r w:rsidRPr="00BE736B">
              <w:rPr>
                <w:rFonts w:ascii="Calibri" w:hAnsi="Calibri" w:cs="Calibri"/>
                <w:sz w:val="20"/>
                <w:szCs w:val="20"/>
              </w:rPr>
              <w:t xml:space="preserve">, </w:t>
            </w:r>
            <w:proofErr w:type="spellStart"/>
            <w:r w:rsidRPr="00BE736B">
              <w:rPr>
                <w:rFonts w:ascii="Calibri" w:hAnsi="Calibri" w:cs="Calibri"/>
                <w:sz w:val="20"/>
                <w:szCs w:val="20"/>
              </w:rPr>
              <w:t>Quirino</w:t>
            </w:r>
            <w:proofErr w:type="spellEnd"/>
          </w:p>
        </w:tc>
        <w:tc>
          <w:tcPr>
            <w:tcW w:w="3117" w:type="dxa"/>
          </w:tcPr>
          <w:p w14:paraId="4F631097"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3,000,000.00 and below</w:t>
            </w:r>
          </w:p>
        </w:tc>
      </w:tr>
      <w:tr w:rsidR="001C5772" w:rsidRPr="00BE736B" w14:paraId="65A5AB74" w14:textId="77777777" w:rsidTr="00BE736B">
        <w:tc>
          <w:tcPr>
            <w:tcW w:w="3116" w:type="dxa"/>
            <w:vMerge w:val="restart"/>
          </w:tcPr>
          <w:p w14:paraId="211AB338"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4 – San Fernando, Pampanga</w:t>
            </w:r>
          </w:p>
        </w:tc>
        <w:tc>
          <w:tcPr>
            <w:tcW w:w="3117" w:type="dxa"/>
          </w:tcPr>
          <w:p w14:paraId="185A3899"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21A – North Pampanga</w:t>
            </w:r>
          </w:p>
          <w:p w14:paraId="583A0379"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21B – South Pampanga</w:t>
            </w:r>
          </w:p>
        </w:tc>
        <w:tc>
          <w:tcPr>
            <w:tcW w:w="3117" w:type="dxa"/>
          </w:tcPr>
          <w:p w14:paraId="44A41425"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r w:rsidR="001C5772" w:rsidRPr="00BE736B" w14:paraId="06D96C7B" w14:textId="77777777" w:rsidTr="00BE736B">
        <w:tc>
          <w:tcPr>
            <w:tcW w:w="3116" w:type="dxa"/>
            <w:vMerge/>
          </w:tcPr>
          <w:p w14:paraId="1FAF5D14" w14:textId="77777777" w:rsidR="001C5772" w:rsidRPr="00BE736B" w:rsidRDefault="001C5772" w:rsidP="00BE736B">
            <w:pPr>
              <w:ind w:right="720"/>
              <w:rPr>
                <w:rFonts w:ascii="Calibri" w:hAnsi="Calibri" w:cs="Calibri"/>
                <w:sz w:val="20"/>
                <w:szCs w:val="20"/>
              </w:rPr>
            </w:pPr>
          </w:p>
        </w:tc>
        <w:tc>
          <w:tcPr>
            <w:tcW w:w="3117" w:type="dxa"/>
          </w:tcPr>
          <w:p w14:paraId="25929D3C"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17A – Tarlac, Tarlac City</w:t>
            </w:r>
          </w:p>
          <w:p w14:paraId="04A6DFE4"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17B – </w:t>
            </w:r>
            <w:proofErr w:type="spellStart"/>
            <w:r w:rsidRPr="00BE736B">
              <w:rPr>
                <w:rFonts w:ascii="Calibri" w:hAnsi="Calibri" w:cs="Calibri"/>
                <w:sz w:val="20"/>
                <w:szCs w:val="20"/>
              </w:rPr>
              <w:t>Paniqui</w:t>
            </w:r>
            <w:proofErr w:type="spellEnd"/>
            <w:r w:rsidRPr="00BE736B">
              <w:rPr>
                <w:rFonts w:ascii="Calibri" w:hAnsi="Calibri" w:cs="Calibri"/>
                <w:sz w:val="20"/>
                <w:szCs w:val="20"/>
              </w:rPr>
              <w:t>, Tarlac</w:t>
            </w:r>
          </w:p>
          <w:p w14:paraId="10E7E02F"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18 – Olongapo City</w:t>
            </w:r>
          </w:p>
          <w:p w14:paraId="2A9020F3"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19 – Subic Bay Freeport Zone</w:t>
            </w:r>
          </w:p>
          <w:p w14:paraId="764CD4C1"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20 – Balanga, Bataan</w:t>
            </w:r>
          </w:p>
          <w:p w14:paraId="7C8ADF14"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21C - Clark Freeport Zone</w:t>
            </w:r>
          </w:p>
          <w:p w14:paraId="769D02EA"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22 – Baler, Aurora</w:t>
            </w:r>
          </w:p>
          <w:p w14:paraId="0085C692"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23A – North Nueva Ecija</w:t>
            </w:r>
          </w:p>
          <w:p w14:paraId="271F7062"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23B – South Nueva Ecija</w:t>
            </w:r>
          </w:p>
        </w:tc>
        <w:tc>
          <w:tcPr>
            <w:tcW w:w="3117" w:type="dxa"/>
          </w:tcPr>
          <w:p w14:paraId="7C2732EB"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7B4BFD33" w14:textId="77777777" w:rsidTr="00BE736B">
        <w:tc>
          <w:tcPr>
            <w:tcW w:w="3116" w:type="dxa"/>
          </w:tcPr>
          <w:p w14:paraId="5E23535E"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5 – Caloocan City</w:t>
            </w:r>
          </w:p>
        </w:tc>
        <w:tc>
          <w:tcPr>
            <w:tcW w:w="3117" w:type="dxa"/>
          </w:tcPr>
          <w:p w14:paraId="0C422F31"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All RDOs</w:t>
            </w:r>
          </w:p>
        </w:tc>
        <w:tc>
          <w:tcPr>
            <w:tcW w:w="3117" w:type="dxa"/>
          </w:tcPr>
          <w:p w14:paraId="62192FCF"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r w:rsidR="001C5772" w:rsidRPr="00BE736B" w14:paraId="5275FAD6" w14:textId="77777777" w:rsidTr="00BE736B">
        <w:tc>
          <w:tcPr>
            <w:tcW w:w="3116" w:type="dxa"/>
            <w:vMerge w:val="restart"/>
          </w:tcPr>
          <w:p w14:paraId="2D3D8809"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6 – Manila</w:t>
            </w:r>
          </w:p>
        </w:tc>
        <w:tc>
          <w:tcPr>
            <w:tcW w:w="3117" w:type="dxa"/>
          </w:tcPr>
          <w:p w14:paraId="2C989A83"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29 – Tondo – San Nicolas</w:t>
            </w:r>
          </w:p>
          <w:p w14:paraId="756C53E0"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30 – </w:t>
            </w:r>
            <w:proofErr w:type="spellStart"/>
            <w:r w:rsidRPr="00BE736B">
              <w:rPr>
                <w:rFonts w:ascii="Calibri" w:hAnsi="Calibri" w:cs="Calibri"/>
                <w:sz w:val="20"/>
                <w:szCs w:val="20"/>
              </w:rPr>
              <w:t>Binondo</w:t>
            </w:r>
            <w:proofErr w:type="spellEnd"/>
          </w:p>
          <w:p w14:paraId="57DAB2BB"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31 – Sta. Cruz</w:t>
            </w:r>
          </w:p>
          <w:p w14:paraId="7C07A199"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32 – </w:t>
            </w:r>
            <w:proofErr w:type="spellStart"/>
            <w:r w:rsidRPr="00BE736B">
              <w:rPr>
                <w:rFonts w:ascii="Calibri" w:hAnsi="Calibri" w:cs="Calibri"/>
                <w:sz w:val="20"/>
                <w:szCs w:val="20"/>
              </w:rPr>
              <w:t>Quiapo</w:t>
            </w:r>
            <w:proofErr w:type="spellEnd"/>
            <w:r w:rsidRPr="00BE736B">
              <w:rPr>
                <w:rFonts w:ascii="Calibri" w:hAnsi="Calibri" w:cs="Calibri"/>
                <w:sz w:val="20"/>
                <w:szCs w:val="20"/>
              </w:rPr>
              <w:t>-Sampaloc-Sta. Mesa-San Miguel</w:t>
            </w:r>
          </w:p>
          <w:p w14:paraId="4BCF597A"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33 – Intramuros-Ermita-Malate</w:t>
            </w:r>
          </w:p>
          <w:p w14:paraId="6CA87090"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34 – Paco-Pandacan-Sta. Ana-San Andres</w:t>
            </w:r>
          </w:p>
        </w:tc>
        <w:tc>
          <w:tcPr>
            <w:tcW w:w="3117" w:type="dxa"/>
          </w:tcPr>
          <w:p w14:paraId="14F33CF3"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r w:rsidR="001C5772" w:rsidRPr="00BE736B" w14:paraId="7B849C64" w14:textId="77777777" w:rsidTr="00BE736B">
        <w:tc>
          <w:tcPr>
            <w:tcW w:w="3116" w:type="dxa"/>
            <w:vMerge/>
          </w:tcPr>
          <w:p w14:paraId="1324C54D" w14:textId="77777777" w:rsidR="001C5772" w:rsidRPr="00BE736B" w:rsidRDefault="001C5772" w:rsidP="00BE736B">
            <w:pPr>
              <w:ind w:right="720"/>
              <w:rPr>
                <w:rFonts w:ascii="Calibri" w:hAnsi="Calibri" w:cs="Calibri"/>
                <w:sz w:val="20"/>
                <w:szCs w:val="20"/>
              </w:rPr>
            </w:pPr>
          </w:p>
        </w:tc>
        <w:tc>
          <w:tcPr>
            <w:tcW w:w="3117" w:type="dxa"/>
          </w:tcPr>
          <w:p w14:paraId="04B1E17C"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36 – Puerto </w:t>
            </w:r>
            <w:proofErr w:type="spellStart"/>
            <w:r w:rsidRPr="00BE736B">
              <w:rPr>
                <w:rFonts w:ascii="Calibri" w:hAnsi="Calibri" w:cs="Calibri"/>
                <w:sz w:val="20"/>
                <w:szCs w:val="20"/>
              </w:rPr>
              <w:t>Princesa</w:t>
            </w:r>
            <w:proofErr w:type="spellEnd"/>
          </w:p>
        </w:tc>
        <w:tc>
          <w:tcPr>
            <w:tcW w:w="3117" w:type="dxa"/>
          </w:tcPr>
          <w:p w14:paraId="3724029A"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3,000,000.00 and below</w:t>
            </w:r>
          </w:p>
        </w:tc>
      </w:tr>
      <w:tr w:rsidR="001C5772" w:rsidRPr="00BE736B" w14:paraId="3FE1CCB7" w14:textId="77777777" w:rsidTr="00BE736B">
        <w:tc>
          <w:tcPr>
            <w:tcW w:w="3116" w:type="dxa"/>
          </w:tcPr>
          <w:p w14:paraId="2970AF5A"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7A – Quezon City</w:t>
            </w:r>
          </w:p>
        </w:tc>
        <w:tc>
          <w:tcPr>
            <w:tcW w:w="3117" w:type="dxa"/>
          </w:tcPr>
          <w:p w14:paraId="6303CF75"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All RDOs</w:t>
            </w:r>
          </w:p>
        </w:tc>
        <w:tc>
          <w:tcPr>
            <w:tcW w:w="3117" w:type="dxa"/>
          </w:tcPr>
          <w:p w14:paraId="243AAB73" w14:textId="77777777" w:rsidR="001C5772" w:rsidRPr="00BE736B" w:rsidRDefault="001C5772" w:rsidP="00BE736B">
            <w:pPr>
              <w:ind w:right="160"/>
              <w:rPr>
                <w:rFonts w:ascii="Calibri" w:hAnsi="Calibri" w:cs="Calibri"/>
                <w:sz w:val="20"/>
                <w:szCs w:val="20"/>
              </w:rPr>
            </w:pPr>
            <w:r w:rsidRPr="00BE736B">
              <w:rPr>
                <w:rFonts w:ascii="Calibri" w:hAnsi="Calibri" w:cs="Calibri"/>
                <w:sz w:val="20"/>
                <w:szCs w:val="20"/>
              </w:rPr>
              <w:t xml:space="preserve">Twenty Million Pesos </w:t>
            </w:r>
          </w:p>
          <w:p w14:paraId="79D01C7C" w14:textId="77777777" w:rsidR="001C5772" w:rsidRPr="00BE736B" w:rsidRDefault="001C5772" w:rsidP="00BE736B">
            <w:pPr>
              <w:ind w:right="160"/>
              <w:rPr>
                <w:rFonts w:ascii="Calibri" w:hAnsi="Calibri" w:cs="Calibri"/>
                <w:sz w:val="20"/>
                <w:szCs w:val="20"/>
              </w:rPr>
            </w:pPr>
            <w:r w:rsidRPr="00BE736B">
              <w:rPr>
                <w:rFonts w:ascii="Calibri" w:hAnsi="Calibri" w:cs="Calibri"/>
                <w:sz w:val="20"/>
                <w:szCs w:val="20"/>
              </w:rPr>
              <w:t>(</w:t>
            </w:r>
            <w:r w:rsidRPr="00BE736B">
              <w:rPr>
                <w:rFonts w:ascii="Calibri" w:hAnsi="Calibri" w:cs="Calibri"/>
                <w:dstrike/>
                <w:sz w:val="20"/>
                <w:szCs w:val="20"/>
              </w:rPr>
              <w:t>P</w:t>
            </w:r>
            <w:r w:rsidRPr="00BE736B">
              <w:rPr>
                <w:rFonts w:ascii="Calibri" w:hAnsi="Calibri" w:cs="Calibri"/>
                <w:sz w:val="20"/>
                <w:szCs w:val="20"/>
              </w:rPr>
              <w:t xml:space="preserve"> 20,000,000.00) and below</w:t>
            </w:r>
          </w:p>
        </w:tc>
      </w:tr>
      <w:tr w:rsidR="001C5772" w:rsidRPr="00BE736B" w14:paraId="5A848B67" w14:textId="77777777" w:rsidTr="00BE736B">
        <w:tc>
          <w:tcPr>
            <w:tcW w:w="3116" w:type="dxa"/>
          </w:tcPr>
          <w:p w14:paraId="54775222"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7B – East NCR</w:t>
            </w:r>
          </w:p>
        </w:tc>
        <w:tc>
          <w:tcPr>
            <w:tcW w:w="3117" w:type="dxa"/>
          </w:tcPr>
          <w:p w14:paraId="0096D166"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All RDOs</w:t>
            </w:r>
          </w:p>
        </w:tc>
        <w:tc>
          <w:tcPr>
            <w:tcW w:w="3117" w:type="dxa"/>
          </w:tcPr>
          <w:p w14:paraId="34EBF0E0"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20,000,000.00 and below</w:t>
            </w:r>
          </w:p>
        </w:tc>
      </w:tr>
      <w:tr w:rsidR="001C5772" w:rsidRPr="00BE736B" w14:paraId="063DF0D1" w14:textId="77777777" w:rsidTr="00BE736B">
        <w:tc>
          <w:tcPr>
            <w:tcW w:w="3116" w:type="dxa"/>
          </w:tcPr>
          <w:p w14:paraId="29E4E571"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8A – Makati City</w:t>
            </w:r>
          </w:p>
        </w:tc>
        <w:tc>
          <w:tcPr>
            <w:tcW w:w="3117" w:type="dxa"/>
          </w:tcPr>
          <w:p w14:paraId="4D42FB50"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All RDOs</w:t>
            </w:r>
          </w:p>
        </w:tc>
        <w:tc>
          <w:tcPr>
            <w:tcW w:w="3117" w:type="dxa"/>
          </w:tcPr>
          <w:p w14:paraId="1DB00F0C"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20,000,000.00 and below</w:t>
            </w:r>
          </w:p>
        </w:tc>
      </w:tr>
      <w:tr w:rsidR="001C5772" w:rsidRPr="00BE736B" w14:paraId="4864F272" w14:textId="77777777" w:rsidTr="00BE736B">
        <w:tc>
          <w:tcPr>
            <w:tcW w:w="3116" w:type="dxa"/>
          </w:tcPr>
          <w:p w14:paraId="114C30E9"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8B – South NCR</w:t>
            </w:r>
          </w:p>
        </w:tc>
        <w:tc>
          <w:tcPr>
            <w:tcW w:w="3117" w:type="dxa"/>
          </w:tcPr>
          <w:p w14:paraId="32FD09DA"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All RDOs</w:t>
            </w:r>
          </w:p>
        </w:tc>
        <w:tc>
          <w:tcPr>
            <w:tcW w:w="3117" w:type="dxa"/>
          </w:tcPr>
          <w:p w14:paraId="306FB44E"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20,000,000.00 and below</w:t>
            </w:r>
          </w:p>
        </w:tc>
      </w:tr>
      <w:tr w:rsidR="001C5772" w:rsidRPr="00BE736B" w14:paraId="71B51ADC" w14:textId="77777777" w:rsidTr="00BE736B">
        <w:tc>
          <w:tcPr>
            <w:tcW w:w="3116" w:type="dxa"/>
            <w:vMerge w:val="restart"/>
          </w:tcPr>
          <w:p w14:paraId="63B5DEA5"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 xml:space="preserve">9A – </w:t>
            </w:r>
            <w:proofErr w:type="spellStart"/>
            <w:r w:rsidRPr="00BE736B">
              <w:rPr>
                <w:rFonts w:ascii="Calibri" w:hAnsi="Calibri" w:cs="Calibri"/>
                <w:sz w:val="20"/>
                <w:szCs w:val="20"/>
              </w:rPr>
              <w:t>CaBaMiRo</w:t>
            </w:r>
            <w:proofErr w:type="spellEnd"/>
          </w:p>
        </w:tc>
        <w:tc>
          <w:tcPr>
            <w:tcW w:w="3117" w:type="dxa"/>
          </w:tcPr>
          <w:p w14:paraId="532B5AF9"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54A – </w:t>
            </w:r>
            <w:proofErr w:type="spellStart"/>
            <w:r w:rsidRPr="00BE736B">
              <w:rPr>
                <w:rFonts w:ascii="Calibri" w:hAnsi="Calibri" w:cs="Calibri"/>
                <w:sz w:val="20"/>
                <w:szCs w:val="20"/>
              </w:rPr>
              <w:t>Trece</w:t>
            </w:r>
            <w:proofErr w:type="spellEnd"/>
            <w:r w:rsidRPr="00BE736B">
              <w:rPr>
                <w:rFonts w:ascii="Calibri" w:hAnsi="Calibri" w:cs="Calibri"/>
                <w:sz w:val="20"/>
                <w:szCs w:val="20"/>
              </w:rPr>
              <w:t xml:space="preserve"> </w:t>
            </w:r>
            <w:proofErr w:type="spellStart"/>
            <w:r w:rsidRPr="00BE736B">
              <w:rPr>
                <w:rFonts w:ascii="Calibri" w:hAnsi="Calibri" w:cs="Calibri"/>
                <w:sz w:val="20"/>
                <w:szCs w:val="20"/>
              </w:rPr>
              <w:t>Martirez</w:t>
            </w:r>
            <w:proofErr w:type="spellEnd"/>
            <w:r w:rsidRPr="00BE736B">
              <w:rPr>
                <w:rFonts w:ascii="Calibri" w:hAnsi="Calibri" w:cs="Calibri"/>
                <w:sz w:val="20"/>
                <w:szCs w:val="20"/>
              </w:rPr>
              <w:t xml:space="preserve"> City, East Cavite</w:t>
            </w:r>
          </w:p>
          <w:p w14:paraId="414DE609"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54B – </w:t>
            </w:r>
            <w:proofErr w:type="spellStart"/>
            <w:r w:rsidRPr="00BE736B">
              <w:rPr>
                <w:rFonts w:ascii="Calibri" w:hAnsi="Calibri" w:cs="Calibri"/>
                <w:sz w:val="20"/>
                <w:szCs w:val="20"/>
              </w:rPr>
              <w:t>Kawit</w:t>
            </w:r>
            <w:proofErr w:type="spellEnd"/>
            <w:r w:rsidRPr="00BE736B">
              <w:rPr>
                <w:rFonts w:ascii="Calibri" w:hAnsi="Calibri" w:cs="Calibri"/>
                <w:sz w:val="20"/>
                <w:szCs w:val="20"/>
              </w:rPr>
              <w:t>, West Cavite</w:t>
            </w:r>
          </w:p>
          <w:p w14:paraId="647ED078"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58 – Batangas City</w:t>
            </w:r>
          </w:p>
          <w:p w14:paraId="70106654"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59 – Lipa City</w:t>
            </w:r>
          </w:p>
        </w:tc>
        <w:tc>
          <w:tcPr>
            <w:tcW w:w="3117" w:type="dxa"/>
          </w:tcPr>
          <w:p w14:paraId="4032A372"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r w:rsidR="001C5772" w:rsidRPr="00BE736B" w14:paraId="1A4D2BDB" w14:textId="77777777" w:rsidTr="00BE736B">
        <w:tc>
          <w:tcPr>
            <w:tcW w:w="3116" w:type="dxa"/>
            <w:vMerge/>
          </w:tcPr>
          <w:p w14:paraId="4BD470F1" w14:textId="77777777" w:rsidR="001C5772" w:rsidRPr="00BE736B" w:rsidRDefault="001C5772" w:rsidP="00BE736B">
            <w:pPr>
              <w:ind w:right="720"/>
              <w:rPr>
                <w:rFonts w:ascii="Calibri" w:hAnsi="Calibri" w:cs="Calibri"/>
                <w:sz w:val="20"/>
                <w:szCs w:val="20"/>
              </w:rPr>
            </w:pPr>
          </w:p>
        </w:tc>
        <w:tc>
          <w:tcPr>
            <w:tcW w:w="3117" w:type="dxa"/>
          </w:tcPr>
          <w:p w14:paraId="2FFDB3AE"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35 – Romblon</w:t>
            </w:r>
          </w:p>
          <w:p w14:paraId="32E2E3CB"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37 – San Jose, Occidental Mindoro</w:t>
            </w:r>
          </w:p>
          <w:p w14:paraId="4549A475"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63 – </w:t>
            </w:r>
            <w:proofErr w:type="spellStart"/>
            <w:r w:rsidRPr="00BE736B">
              <w:rPr>
                <w:rFonts w:ascii="Calibri" w:hAnsi="Calibri" w:cs="Calibri"/>
                <w:sz w:val="20"/>
                <w:szCs w:val="20"/>
              </w:rPr>
              <w:t>Calapan</w:t>
            </w:r>
            <w:proofErr w:type="spellEnd"/>
            <w:r w:rsidRPr="00BE736B">
              <w:rPr>
                <w:rFonts w:ascii="Calibri" w:hAnsi="Calibri" w:cs="Calibri"/>
                <w:sz w:val="20"/>
                <w:szCs w:val="20"/>
              </w:rPr>
              <w:t>, Oriental Mindoro</w:t>
            </w:r>
          </w:p>
        </w:tc>
        <w:tc>
          <w:tcPr>
            <w:tcW w:w="3117" w:type="dxa"/>
          </w:tcPr>
          <w:p w14:paraId="353701CF"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219348D7" w14:textId="77777777" w:rsidTr="00BE736B">
        <w:tc>
          <w:tcPr>
            <w:tcW w:w="3116" w:type="dxa"/>
            <w:vMerge w:val="restart"/>
          </w:tcPr>
          <w:p w14:paraId="1D98393E"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 xml:space="preserve">9B – </w:t>
            </w:r>
            <w:proofErr w:type="spellStart"/>
            <w:r w:rsidRPr="00BE736B">
              <w:rPr>
                <w:rFonts w:ascii="Calibri" w:hAnsi="Calibri" w:cs="Calibri"/>
                <w:sz w:val="20"/>
                <w:szCs w:val="20"/>
              </w:rPr>
              <w:t>LaQueMar</w:t>
            </w:r>
            <w:proofErr w:type="spellEnd"/>
          </w:p>
        </w:tc>
        <w:tc>
          <w:tcPr>
            <w:tcW w:w="3117" w:type="dxa"/>
          </w:tcPr>
          <w:p w14:paraId="73D8BA57"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55 – San Pablo City</w:t>
            </w:r>
          </w:p>
          <w:p w14:paraId="5C718BFF"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56 – Calamba, Laguna</w:t>
            </w:r>
          </w:p>
          <w:p w14:paraId="0B14A12A"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57 – Binan, Laguna</w:t>
            </w:r>
          </w:p>
          <w:p w14:paraId="31776E79"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60 – </w:t>
            </w:r>
            <w:proofErr w:type="spellStart"/>
            <w:r w:rsidRPr="00BE736B">
              <w:rPr>
                <w:rFonts w:ascii="Calibri" w:hAnsi="Calibri" w:cs="Calibri"/>
                <w:sz w:val="20"/>
                <w:szCs w:val="20"/>
              </w:rPr>
              <w:t>Lucena</w:t>
            </w:r>
            <w:proofErr w:type="spellEnd"/>
            <w:r w:rsidRPr="00BE736B">
              <w:rPr>
                <w:rFonts w:ascii="Calibri" w:hAnsi="Calibri" w:cs="Calibri"/>
                <w:sz w:val="20"/>
                <w:szCs w:val="20"/>
              </w:rPr>
              <w:t xml:space="preserve"> City</w:t>
            </w:r>
          </w:p>
        </w:tc>
        <w:tc>
          <w:tcPr>
            <w:tcW w:w="3117" w:type="dxa"/>
          </w:tcPr>
          <w:p w14:paraId="4DD5E3DC"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r w:rsidR="001C5772" w:rsidRPr="00BE736B" w14:paraId="5C18A84F" w14:textId="77777777" w:rsidTr="00BE736B">
        <w:tc>
          <w:tcPr>
            <w:tcW w:w="3116" w:type="dxa"/>
            <w:vMerge/>
          </w:tcPr>
          <w:p w14:paraId="2A5E1262" w14:textId="77777777" w:rsidR="001C5772" w:rsidRPr="00BE736B" w:rsidRDefault="001C5772" w:rsidP="00BE736B">
            <w:pPr>
              <w:ind w:right="720"/>
              <w:rPr>
                <w:rFonts w:ascii="Calibri" w:hAnsi="Calibri" w:cs="Calibri"/>
                <w:sz w:val="20"/>
                <w:szCs w:val="20"/>
              </w:rPr>
            </w:pPr>
          </w:p>
        </w:tc>
        <w:tc>
          <w:tcPr>
            <w:tcW w:w="3117" w:type="dxa"/>
          </w:tcPr>
          <w:p w14:paraId="75F40EDE"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61 – </w:t>
            </w:r>
            <w:proofErr w:type="spellStart"/>
            <w:r w:rsidRPr="00BE736B">
              <w:rPr>
                <w:rFonts w:ascii="Calibri" w:hAnsi="Calibri" w:cs="Calibri"/>
                <w:sz w:val="20"/>
                <w:szCs w:val="20"/>
              </w:rPr>
              <w:t>Gumaca</w:t>
            </w:r>
            <w:proofErr w:type="spellEnd"/>
            <w:r w:rsidRPr="00BE736B">
              <w:rPr>
                <w:rFonts w:ascii="Calibri" w:hAnsi="Calibri" w:cs="Calibri"/>
                <w:sz w:val="20"/>
                <w:szCs w:val="20"/>
              </w:rPr>
              <w:t>, Quezon</w:t>
            </w:r>
          </w:p>
          <w:p w14:paraId="2EEB4F9D"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62 – </w:t>
            </w:r>
            <w:proofErr w:type="spellStart"/>
            <w:r w:rsidRPr="00BE736B">
              <w:rPr>
                <w:rFonts w:ascii="Calibri" w:hAnsi="Calibri" w:cs="Calibri"/>
                <w:sz w:val="20"/>
                <w:szCs w:val="20"/>
              </w:rPr>
              <w:t>Boac</w:t>
            </w:r>
            <w:proofErr w:type="spellEnd"/>
            <w:r w:rsidRPr="00BE736B">
              <w:rPr>
                <w:rFonts w:ascii="Calibri" w:hAnsi="Calibri" w:cs="Calibri"/>
                <w:sz w:val="20"/>
                <w:szCs w:val="20"/>
              </w:rPr>
              <w:t>, Marinduque</w:t>
            </w:r>
          </w:p>
        </w:tc>
        <w:tc>
          <w:tcPr>
            <w:tcW w:w="3117" w:type="dxa"/>
          </w:tcPr>
          <w:p w14:paraId="145A0258"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7C3EF952" w14:textId="77777777" w:rsidTr="00BE736B">
        <w:tc>
          <w:tcPr>
            <w:tcW w:w="3116" w:type="dxa"/>
            <w:vMerge w:val="restart"/>
          </w:tcPr>
          <w:p w14:paraId="38FDBD56"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10 – Legazpi City</w:t>
            </w:r>
          </w:p>
        </w:tc>
        <w:tc>
          <w:tcPr>
            <w:tcW w:w="3117" w:type="dxa"/>
          </w:tcPr>
          <w:p w14:paraId="79554F86"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64 – Talisay, Camarines Norte</w:t>
            </w:r>
          </w:p>
          <w:p w14:paraId="58D8CC3A"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65 – Naga City</w:t>
            </w:r>
          </w:p>
          <w:p w14:paraId="101FB35A"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66 – </w:t>
            </w:r>
            <w:proofErr w:type="spellStart"/>
            <w:r w:rsidRPr="00BE736B">
              <w:rPr>
                <w:rFonts w:ascii="Calibri" w:hAnsi="Calibri" w:cs="Calibri"/>
                <w:sz w:val="20"/>
                <w:szCs w:val="20"/>
              </w:rPr>
              <w:t>Iriga</w:t>
            </w:r>
            <w:proofErr w:type="spellEnd"/>
            <w:r w:rsidRPr="00BE736B">
              <w:rPr>
                <w:rFonts w:ascii="Calibri" w:hAnsi="Calibri" w:cs="Calibri"/>
                <w:sz w:val="20"/>
                <w:szCs w:val="20"/>
              </w:rPr>
              <w:t xml:space="preserve"> City</w:t>
            </w:r>
          </w:p>
          <w:p w14:paraId="2B3034DA"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67 – Legazpi City, Albay</w:t>
            </w:r>
          </w:p>
          <w:p w14:paraId="736848AA"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68 – Sorsogon, Sorsogon</w:t>
            </w:r>
          </w:p>
        </w:tc>
        <w:tc>
          <w:tcPr>
            <w:tcW w:w="3117" w:type="dxa"/>
          </w:tcPr>
          <w:p w14:paraId="02B887D0"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5D93C7B4" w14:textId="77777777" w:rsidTr="00BE736B">
        <w:tc>
          <w:tcPr>
            <w:tcW w:w="3116" w:type="dxa"/>
            <w:vMerge/>
          </w:tcPr>
          <w:p w14:paraId="16EFB8ED" w14:textId="77777777" w:rsidR="001C5772" w:rsidRPr="00BE736B" w:rsidRDefault="001C5772" w:rsidP="00BE736B">
            <w:pPr>
              <w:ind w:right="720"/>
              <w:rPr>
                <w:rFonts w:ascii="Calibri" w:hAnsi="Calibri" w:cs="Calibri"/>
                <w:sz w:val="20"/>
                <w:szCs w:val="20"/>
              </w:rPr>
            </w:pPr>
          </w:p>
        </w:tc>
        <w:tc>
          <w:tcPr>
            <w:tcW w:w="3117" w:type="dxa"/>
          </w:tcPr>
          <w:p w14:paraId="05962981"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69 – </w:t>
            </w:r>
            <w:proofErr w:type="spellStart"/>
            <w:r w:rsidRPr="00BE736B">
              <w:rPr>
                <w:rFonts w:ascii="Calibri" w:hAnsi="Calibri" w:cs="Calibri"/>
                <w:sz w:val="20"/>
                <w:szCs w:val="20"/>
              </w:rPr>
              <w:t>Virac</w:t>
            </w:r>
            <w:proofErr w:type="spellEnd"/>
            <w:r w:rsidRPr="00BE736B">
              <w:rPr>
                <w:rFonts w:ascii="Calibri" w:hAnsi="Calibri" w:cs="Calibri"/>
                <w:sz w:val="20"/>
                <w:szCs w:val="20"/>
              </w:rPr>
              <w:t xml:space="preserve">, </w:t>
            </w:r>
            <w:proofErr w:type="spellStart"/>
            <w:r w:rsidRPr="00BE736B">
              <w:rPr>
                <w:rFonts w:ascii="Calibri" w:hAnsi="Calibri" w:cs="Calibri"/>
                <w:sz w:val="20"/>
                <w:szCs w:val="20"/>
              </w:rPr>
              <w:t>Catanduanes</w:t>
            </w:r>
            <w:proofErr w:type="spellEnd"/>
          </w:p>
          <w:p w14:paraId="6CC2DF53"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70 – Masbate, Masbate</w:t>
            </w:r>
          </w:p>
        </w:tc>
        <w:tc>
          <w:tcPr>
            <w:tcW w:w="3117" w:type="dxa"/>
          </w:tcPr>
          <w:p w14:paraId="0AFE6C77"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3,000,000.00 and below</w:t>
            </w:r>
          </w:p>
        </w:tc>
      </w:tr>
      <w:tr w:rsidR="001C5772" w:rsidRPr="00BE736B" w14:paraId="6C5E603A" w14:textId="77777777" w:rsidTr="00BE736B">
        <w:tc>
          <w:tcPr>
            <w:tcW w:w="3116" w:type="dxa"/>
            <w:vMerge w:val="restart"/>
          </w:tcPr>
          <w:p w14:paraId="09612042"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11 – Iloilo City</w:t>
            </w:r>
          </w:p>
        </w:tc>
        <w:tc>
          <w:tcPr>
            <w:tcW w:w="3117" w:type="dxa"/>
          </w:tcPr>
          <w:p w14:paraId="6E1F2B9C"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74 – Iloilo City</w:t>
            </w:r>
          </w:p>
        </w:tc>
        <w:tc>
          <w:tcPr>
            <w:tcW w:w="3117" w:type="dxa"/>
          </w:tcPr>
          <w:p w14:paraId="3CD9033F"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r w:rsidR="001C5772" w:rsidRPr="00BE736B" w14:paraId="3F0D5254" w14:textId="77777777" w:rsidTr="00BE736B">
        <w:tc>
          <w:tcPr>
            <w:tcW w:w="3116" w:type="dxa"/>
            <w:vMerge/>
          </w:tcPr>
          <w:p w14:paraId="7B9E70D3" w14:textId="77777777" w:rsidR="001C5772" w:rsidRPr="00BE736B" w:rsidRDefault="001C5772" w:rsidP="00BE736B">
            <w:pPr>
              <w:ind w:right="720"/>
              <w:rPr>
                <w:rFonts w:ascii="Calibri" w:hAnsi="Calibri" w:cs="Calibri"/>
                <w:sz w:val="20"/>
                <w:szCs w:val="20"/>
              </w:rPr>
            </w:pPr>
          </w:p>
        </w:tc>
        <w:tc>
          <w:tcPr>
            <w:tcW w:w="3117" w:type="dxa"/>
          </w:tcPr>
          <w:p w14:paraId="085B5441"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71 – Kalibo, Aklan</w:t>
            </w:r>
          </w:p>
          <w:p w14:paraId="32BBEFFF"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72 – Roxas City</w:t>
            </w:r>
          </w:p>
          <w:p w14:paraId="6EF2CDD2"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73 – San Jose, Antique</w:t>
            </w:r>
          </w:p>
          <w:p w14:paraId="73CED65D"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75 – </w:t>
            </w:r>
            <w:proofErr w:type="spellStart"/>
            <w:r w:rsidRPr="00BE736B">
              <w:rPr>
                <w:rFonts w:ascii="Calibri" w:hAnsi="Calibri" w:cs="Calibri"/>
                <w:sz w:val="20"/>
                <w:szCs w:val="20"/>
              </w:rPr>
              <w:t>Zarraga</w:t>
            </w:r>
            <w:proofErr w:type="spellEnd"/>
            <w:r w:rsidRPr="00BE736B">
              <w:rPr>
                <w:rFonts w:ascii="Calibri" w:hAnsi="Calibri" w:cs="Calibri"/>
                <w:sz w:val="20"/>
                <w:szCs w:val="20"/>
              </w:rPr>
              <w:t>, Iloilo City</w:t>
            </w:r>
          </w:p>
        </w:tc>
        <w:tc>
          <w:tcPr>
            <w:tcW w:w="3117" w:type="dxa"/>
          </w:tcPr>
          <w:p w14:paraId="6102AF56"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41673FC8" w14:textId="77777777" w:rsidTr="00BE736B">
        <w:tc>
          <w:tcPr>
            <w:tcW w:w="3116" w:type="dxa"/>
            <w:vMerge w:val="restart"/>
          </w:tcPr>
          <w:p w14:paraId="7D1C436B"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12 – Bacolod City</w:t>
            </w:r>
          </w:p>
        </w:tc>
        <w:tc>
          <w:tcPr>
            <w:tcW w:w="3117" w:type="dxa"/>
          </w:tcPr>
          <w:p w14:paraId="40535715"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77 – Bacolod City</w:t>
            </w:r>
          </w:p>
        </w:tc>
        <w:tc>
          <w:tcPr>
            <w:tcW w:w="3117" w:type="dxa"/>
          </w:tcPr>
          <w:p w14:paraId="58409A2B"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r w:rsidR="001C5772" w:rsidRPr="00BE736B" w14:paraId="3CEF9773" w14:textId="77777777" w:rsidTr="00BE736B">
        <w:tc>
          <w:tcPr>
            <w:tcW w:w="3116" w:type="dxa"/>
            <w:vMerge/>
          </w:tcPr>
          <w:p w14:paraId="3106C588" w14:textId="77777777" w:rsidR="001C5772" w:rsidRPr="00BE736B" w:rsidRDefault="001C5772" w:rsidP="00BE736B">
            <w:pPr>
              <w:ind w:right="720"/>
              <w:rPr>
                <w:rFonts w:ascii="Calibri" w:hAnsi="Calibri" w:cs="Calibri"/>
                <w:sz w:val="20"/>
                <w:szCs w:val="20"/>
              </w:rPr>
            </w:pPr>
          </w:p>
        </w:tc>
        <w:tc>
          <w:tcPr>
            <w:tcW w:w="3117" w:type="dxa"/>
          </w:tcPr>
          <w:p w14:paraId="6BD4BF21"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76 – </w:t>
            </w:r>
            <w:proofErr w:type="spellStart"/>
            <w:r w:rsidRPr="00BE736B">
              <w:rPr>
                <w:rFonts w:ascii="Calibri" w:hAnsi="Calibri" w:cs="Calibri"/>
                <w:sz w:val="20"/>
                <w:szCs w:val="20"/>
              </w:rPr>
              <w:t>Victorias</w:t>
            </w:r>
            <w:proofErr w:type="spellEnd"/>
            <w:r w:rsidRPr="00BE736B">
              <w:rPr>
                <w:rFonts w:ascii="Calibri" w:hAnsi="Calibri" w:cs="Calibri"/>
                <w:sz w:val="20"/>
                <w:szCs w:val="20"/>
              </w:rPr>
              <w:t xml:space="preserve"> City, Negros Occidental</w:t>
            </w:r>
          </w:p>
          <w:p w14:paraId="5BB55530"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78 – </w:t>
            </w:r>
            <w:proofErr w:type="spellStart"/>
            <w:r w:rsidRPr="00BE736B">
              <w:rPr>
                <w:rFonts w:ascii="Calibri" w:hAnsi="Calibri" w:cs="Calibri"/>
                <w:sz w:val="20"/>
                <w:szCs w:val="20"/>
              </w:rPr>
              <w:t>Binalbagan</w:t>
            </w:r>
            <w:proofErr w:type="spellEnd"/>
            <w:r w:rsidRPr="00BE736B">
              <w:rPr>
                <w:rFonts w:ascii="Calibri" w:hAnsi="Calibri" w:cs="Calibri"/>
                <w:sz w:val="20"/>
                <w:szCs w:val="20"/>
              </w:rPr>
              <w:t>, Negros Occidental</w:t>
            </w:r>
          </w:p>
          <w:p w14:paraId="56920A8C"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79 – Dumaguete City</w:t>
            </w:r>
          </w:p>
        </w:tc>
        <w:tc>
          <w:tcPr>
            <w:tcW w:w="3117" w:type="dxa"/>
          </w:tcPr>
          <w:p w14:paraId="3BAB7D38"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2F75EB67" w14:textId="77777777" w:rsidTr="00BE736B">
        <w:tc>
          <w:tcPr>
            <w:tcW w:w="3116" w:type="dxa"/>
            <w:vMerge w:val="restart"/>
          </w:tcPr>
          <w:p w14:paraId="4E91E2E7"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13 – Cebu City</w:t>
            </w:r>
          </w:p>
        </w:tc>
        <w:tc>
          <w:tcPr>
            <w:tcW w:w="3117" w:type="dxa"/>
          </w:tcPr>
          <w:p w14:paraId="4DBAA6BD"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80 – Mandaue City</w:t>
            </w:r>
          </w:p>
          <w:p w14:paraId="0C9B6CF1"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81 – Cebu City North</w:t>
            </w:r>
          </w:p>
          <w:p w14:paraId="41AF0994"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82 – Cebu City South</w:t>
            </w:r>
          </w:p>
        </w:tc>
        <w:tc>
          <w:tcPr>
            <w:tcW w:w="3117" w:type="dxa"/>
          </w:tcPr>
          <w:p w14:paraId="730F5D29"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r w:rsidR="001C5772" w:rsidRPr="00BE736B" w14:paraId="6EA12CE2" w14:textId="77777777" w:rsidTr="00BE736B">
        <w:tc>
          <w:tcPr>
            <w:tcW w:w="3116" w:type="dxa"/>
            <w:vMerge/>
          </w:tcPr>
          <w:p w14:paraId="59D48B7C" w14:textId="77777777" w:rsidR="001C5772" w:rsidRPr="00BE736B" w:rsidRDefault="001C5772" w:rsidP="00BE736B">
            <w:pPr>
              <w:ind w:right="720"/>
              <w:rPr>
                <w:rFonts w:ascii="Calibri" w:hAnsi="Calibri" w:cs="Calibri"/>
                <w:sz w:val="20"/>
                <w:szCs w:val="20"/>
              </w:rPr>
            </w:pPr>
          </w:p>
        </w:tc>
        <w:tc>
          <w:tcPr>
            <w:tcW w:w="3117" w:type="dxa"/>
          </w:tcPr>
          <w:p w14:paraId="49F7EF4F"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83 – Talisay, Cebu</w:t>
            </w:r>
          </w:p>
          <w:p w14:paraId="47A48CAE"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84 – Tagbilaran City</w:t>
            </w:r>
          </w:p>
        </w:tc>
        <w:tc>
          <w:tcPr>
            <w:tcW w:w="3117" w:type="dxa"/>
          </w:tcPr>
          <w:p w14:paraId="0EB5C708"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28E66759" w14:textId="77777777" w:rsidTr="00BE736B">
        <w:tc>
          <w:tcPr>
            <w:tcW w:w="3116" w:type="dxa"/>
            <w:vMerge w:val="restart"/>
          </w:tcPr>
          <w:p w14:paraId="3843D609"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14 – Eastern Visayas Region</w:t>
            </w:r>
          </w:p>
        </w:tc>
        <w:tc>
          <w:tcPr>
            <w:tcW w:w="3117" w:type="dxa"/>
          </w:tcPr>
          <w:p w14:paraId="1D76DB88"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88 – Tacloban City</w:t>
            </w:r>
          </w:p>
        </w:tc>
        <w:tc>
          <w:tcPr>
            <w:tcW w:w="3117" w:type="dxa"/>
          </w:tcPr>
          <w:p w14:paraId="73D0B616"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3DCDEEE2" w14:textId="77777777" w:rsidTr="00BE736B">
        <w:tc>
          <w:tcPr>
            <w:tcW w:w="3116" w:type="dxa"/>
            <w:vMerge/>
          </w:tcPr>
          <w:p w14:paraId="2A1796D4" w14:textId="77777777" w:rsidR="001C5772" w:rsidRPr="00BE736B" w:rsidRDefault="001C5772" w:rsidP="00BE736B">
            <w:pPr>
              <w:ind w:right="720"/>
              <w:rPr>
                <w:rFonts w:ascii="Calibri" w:hAnsi="Calibri" w:cs="Calibri"/>
                <w:sz w:val="20"/>
                <w:szCs w:val="20"/>
              </w:rPr>
            </w:pPr>
          </w:p>
        </w:tc>
        <w:tc>
          <w:tcPr>
            <w:tcW w:w="3117" w:type="dxa"/>
          </w:tcPr>
          <w:p w14:paraId="66020028"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85 – </w:t>
            </w:r>
            <w:proofErr w:type="spellStart"/>
            <w:r w:rsidRPr="00BE736B">
              <w:rPr>
                <w:rFonts w:ascii="Calibri" w:hAnsi="Calibri" w:cs="Calibri"/>
                <w:sz w:val="20"/>
                <w:szCs w:val="20"/>
              </w:rPr>
              <w:t>Catarman</w:t>
            </w:r>
            <w:proofErr w:type="spellEnd"/>
            <w:r w:rsidRPr="00BE736B">
              <w:rPr>
                <w:rFonts w:ascii="Calibri" w:hAnsi="Calibri" w:cs="Calibri"/>
                <w:sz w:val="20"/>
                <w:szCs w:val="20"/>
              </w:rPr>
              <w:t>, Northern Samar</w:t>
            </w:r>
          </w:p>
          <w:p w14:paraId="75CCE0C2"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86 – Borongan, Eastern Samar</w:t>
            </w:r>
          </w:p>
          <w:p w14:paraId="4FD777B3"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87 – Calbayog City, Samar</w:t>
            </w:r>
          </w:p>
          <w:p w14:paraId="1817E65F"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89 – Ormoc City</w:t>
            </w:r>
          </w:p>
          <w:p w14:paraId="67ED83E8"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90 – </w:t>
            </w:r>
            <w:proofErr w:type="spellStart"/>
            <w:r w:rsidRPr="00BE736B">
              <w:rPr>
                <w:rFonts w:ascii="Calibri" w:hAnsi="Calibri" w:cs="Calibri"/>
                <w:sz w:val="20"/>
                <w:szCs w:val="20"/>
              </w:rPr>
              <w:t>Maasin</w:t>
            </w:r>
            <w:proofErr w:type="spellEnd"/>
            <w:r w:rsidRPr="00BE736B">
              <w:rPr>
                <w:rFonts w:ascii="Calibri" w:hAnsi="Calibri" w:cs="Calibri"/>
                <w:sz w:val="20"/>
                <w:szCs w:val="20"/>
              </w:rPr>
              <w:t>, Southern Leyte</w:t>
            </w:r>
          </w:p>
        </w:tc>
        <w:tc>
          <w:tcPr>
            <w:tcW w:w="3117" w:type="dxa"/>
          </w:tcPr>
          <w:p w14:paraId="1DEA3A5E"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3,000,000.00 and below</w:t>
            </w:r>
          </w:p>
        </w:tc>
      </w:tr>
      <w:tr w:rsidR="001C5772" w:rsidRPr="00BE736B" w14:paraId="57A2F315" w14:textId="77777777" w:rsidTr="00BE736B">
        <w:tc>
          <w:tcPr>
            <w:tcW w:w="3116" w:type="dxa"/>
            <w:vMerge w:val="restart"/>
          </w:tcPr>
          <w:p w14:paraId="20521990"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15 – Zamboanga City</w:t>
            </w:r>
          </w:p>
        </w:tc>
        <w:tc>
          <w:tcPr>
            <w:tcW w:w="3117" w:type="dxa"/>
          </w:tcPr>
          <w:p w14:paraId="08AB6B67"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91 – </w:t>
            </w:r>
            <w:proofErr w:type="spellStart"/>
            <w:r w:rsidRPr="00BE736B">
              <w:rPr>
                <w:rFonts w:ascii="Calibri" w:hAnsi="Calibri" w:cs="Calibri"/>
                <w:sz w:val="20"/>
                <w:szCs w:val="20"/>
              </w:rPr>
              <w:t>Dipolog</w:t>
            </w:r>
            <w:proofErr w:type="spellEnd"/>
            <w:r w:rsidRPr="00BE736B">
              <w:rPr>
                <w:rFonts w:ascii="Calibri" w:hAnsi="Calibri" w:cs="Calibri"/>
                <w:sz w:val="20"/>
                <w:szCs w:val="20"/>
              </w:rPr>
              <w:t xml:space="preserve"> City</w:t>
            </w:r>
          </w:p>
          <w:p w14:paraId="334409D6"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93A – Zamboanga City, Zamboanga del Sur</w:t>
            </w:r>
          </w:p>
        </w:tc>
        <w:tc>
          <w:tcPr>
            <w:tcW w:w="3117" w:type="dxa"/>
          </w:tcPr>
          <w:p w14:paraId="543A3227"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7F8F4B69" w14:textId="77777777" w:rsidTr="00BE736B">
        <w:tc>
          <w:tcPr>
            <w:tcW w:w="3116" w:type="dxa"/>
            <w:vMerge/>
          </w:tcPr>
          <w:p w14:paraId="21546291" w14:textId="77777777" w:rsidR="001C5772" w:rsidRPr="00BE736B" w:rsidRDefault="001C5772" w:rsidP="00BE736B">
            <w:pPr>
              <w:ind w:right="720"/>
              <w:rPr>
                <w:rFonts w:ascii="Calibri" w:hAnsi="Calibri" w:cs="Calibri"/>
                <w:sz w:val="20"/>
                <w:szCs w:val="20"/>
              </w:rPr>
            </w:pPr>
          </w:p>
        </w:tc>
        <w:tc>
          <w:tcPr>
            <w:tcW w:w="3117" w:type="dxa"/>
          </w:tcPr>
          <w:p w14:paraId="3D562AC5"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92 – Pagadian City, Zamboanga del Sur</w:t>
            </w:r>
          </w:p>
          <w:p w14:paraId="2DB39618"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93B – Zamboanga Sibugay</w:t>
            </w:r>
          </w:p>
          <w:p w14:paraId="5D91D7FB"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94 – Isabela, Basilan</w:t>
            </w:r>
          </w:p>
          <w:p w14:paraId="3F179A0A"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95 – </w:t>
            </w:r>
            <w:proofErr w:type="spellStart"/>
            <w:r w:rsidRPr="00BE736B">
              <w:rPr>
                <w:rFonts w:ascii="Calibri" w:hAnsi="Calibri" w:cs="Calibri"/>
                <w:sz w:val="20"/>
                <w:szCs w:val="20"/>
              </w:rPr>
              <w:t>Jolo</w:t>
            </w:r>
            <w:proofErr w:type="spellEnd"/>
            <w:r w:rsidRPr="00BE736B">
              <w:rPr>
                <w:rFonts w:ascii="Calibri" w:hAnsi="Calibri" w:cs="Calibri"/>
                <w:sz w:val="20"/>
                <w:szCs w:val="20"/>
              </w:rPr>
              <w:t>, Sulu</w:t>
            </w:r>
          </w:p>
          <w:p w14:paraId="077D5404"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96 – </w:t>
            </w:r>
            <w:proofErr w:type="spellStart"/>
            <w:r w:rsidRPr="00BE736B">
              <w:rPr>
                <w:rFonts w:ascii="Calibri" w:hAnsi="Calibri" w:cs="Calibri"/>
                <w:sz w:val="20"/>
                <w:szCs w:val="20"/>
              </w:rPr>
              <w:t>Bongao</w:t>
            </w:r>
            <w:proofErr w:type="spellEnd"/>
            <w:r w:rsidRPr="00BE736B">
              <w:rPr>
                <w:rFonts w:ascii="Calibri" w:hAnsi="Calibri" w:cs="Calibri"/>
                <w:sz w:val="20"/>
                <w:szCs w:val="20"/>
              </w:rPr>
              <w:t xml:space="preserve">, </w:t>
            </w:r>
            <w:proofErr w:type="spellStart"/>
            <w:r w:rsidRPr="00BE736B">
              <w:rPr>
                <w:rFonts w:ascii="Calibri" w:hAnsi="Calibri" w:cs="Calibri"/>
                <w:sz w:val="20"/>
                <w:szCs w:val="20"/>
              </w:rPr>
              <w:t>Tawi-Tawi</w:t>
            </w:r>
            <w:proofErr w:type="spellEnd"/>
          </w:p>
        </w:tc>
        <w:tc>
          <w:tcPr>
            <w:tcW w:w="3117" w:type="dxa"/>
          </w:tcPr>
          <w:p w14:paraId="6E0CE3E2"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3,000,000.00 and below</w:t>
            </w:r>
          </w:p>
        </w:tc>
      </w:tr>
      <w:tr w:rsidR="001C5772" w:rsidRPr="00BE736B" w14:paraId="170F02C4" w14:textId="77777777" w:rsidTr="00BE736B">
        <w:tc>
          <w:tcPr>
            <w:tcW w:w="3116" w:type="dxa"/>
            <w:vMerge w:val="restart"/>
          </w:tcPr>
          <w:p w14:paraId="374CF428"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16 – Cagayan de Oro City</w:t>
            </w:r>
          </w:p>
        </w:tc>
        <w:tc>
          <w:tcPr>
            <w:tcW w:w="3117" w:type="dxa"/>
          </w:tcPr>
          <w:p w14:paraId="1E3F637F"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98 – Cagayan de Oro City</w:t>
            </w:r>
          </w:p>
        </w:tc>
        <w:tc>
          <w:tcPr>
            <w:tcW w:w="3117" w:type="dxa"/>
          </w:tcPr>
          <w:p w14:paraId="00D8C520"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r w:rsidR="001C5772" w:rsidRPr="00BE736B" w14:paraId="63B345CB" w14:textId="77777777" w:rsidTr="00BE736B">
        <w:tc>
          <w:tcPr>
            <w:tcW w:w="3116" w:type="dxa"/>
            <w:vMerge/>
          </w:tcPr>
          <w:p w14:paraId="35E9DE24" w14:textId="77777777" w:rsidR="001C5772" w:rsidRPr="00BE736B" w:rsidRDefault="001C5772" w:rsidP="00BE736B">
            <w:pPr>
              <w:ind w:right="720"/>
              <w:rPr>
                <w:rFonts w:ascii="Calibri" w:hAnsi="Calibri" w:cs="Calibri"/>
                <w:sz w:val="20"/>
                <w:szCs w:val="20"/>
              </w:rPr>
            </w:pPr>
          </w:p>
        </w:tc>
        <w:tc>
          <w:tcPr>
            <w:tcW w:w="3117" w:type="dxa"/>
          </w:tcPr>
          <w:p w14:paraId="67FBCE40"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97 – </w:t>
            </w:r>
            <w:proofErr w:type="spellStart"/>
            <w:r w:rsidRPr="00BE736B">
              <w:rPr>
                <w:rFonts w:ascii="Calibri" w:hAnsi="Calibri" w:cs="Calibri"/>
                <w:sz w:val="20"/>
                <w:szCs w:val="20"/>
              </w:rPr>
              <w:t>Gingoog</w:t>
            </w:r>
            <w:proofErr w:type="spellEnd"/>
            <w:r w:rsidRPr="00BE736B">
              <w:rPr>
                <w:rFonts w:ascii="Calibri" w:hAnsi="Calibri" w:cs="Calibri"/>
                <w:sz w:val="20"/>
                <w:szCs w:val="20"/>
              </w:rPr>
              <w:t xml:space="preserve"> City</w:t>
            </w:r>
          </w:p>
          <w:p w14:paraId="42245434"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99 – Malaybalay, Bukidnon</w:t>
            </w:r>
          </w:p>
          <w:p w14:paraId="06BF1866"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lastRenderedPageBreak/>
              <w:t>100 – Ozamis City</w:t>
            </w:r>
          </w:p>
          <w:p w14:paraId="6C17BBCC"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101 – Iligan City</w:t>
            </w:r>
          </w:p>
          <w:p w14:paraId="658C6A88"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102 – Marawi City</w:t>
            </w:r>
          </w:p>
        </w:tc>
        <w:tc>
          <w:tcPr>
            <w:tcW w:w="3117" w:type="dxa"/>
          </w:tcPr>
          <w:p w14:paraId="56DFD320"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lastRenderedPageBreak/>
              <w:t>P</w:t>
            </w:r>
            <w:r w:rsidRPr="00BE736B">
              <w:rPr>
                <w:rFonts w:ascii="Calibri" w:hAnsi="Calibri" w:cs="Calibri"/>
                <w:sz w:val="20"/>
                <w:szCs w:val="20"/>
              </w:rPr>
              <w:t xml:space="preserve"> 5,000,000.00 and below</w:t>
            </w:r>
          </w:p>
        </w:tc>
      </w:tr>
      <w:tr w:rsidR="001C5772" w:rsidRPr="00BE736B" w14:paraId="4DEEBD02" w14:textId="77777777" w:rsidTr="00BE736B">
        <w:tc>
          <w:tcPr>
            <w:tcW w:w="3116" w:type="dxa"/>
            <w:vMerge w:val="restart"/>
          </w:tcPr>
          <w:p w14:paraId="6F896E69"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17 – Butuan City</w:t>
            </w:r>
          </w:p>
        </w:tc>
        <w:tc>
          <w:tcPr>
            <w:tcW w:w="3117" w:type="dxa"/>
          </w:tcPr>
          <w:p w14:paraId="065DA10B"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103 – Butuan City</w:t>
            </w:r>
          </w:p>
        </w:tc>
        <w:tc>
          <w:tcPr>
            <w:tcW w:w="3117" w:type="dxa"/>
          </w:tcPr>
          <w:p w14:paraId="50F7CFE1"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4990AB2C" w14:textId="77777777" w:rsidTr="00BE736B">
        <w:tc>
          <w:tcPr>
            <w:tcW w:w="3116" w:type="dxa"/>
            <w:vMerge/>
          </w:tcPr>
          <w:p w14:paraId="5AD5E080" w14:textId="77777777" w:rsidR="001C5772" w:rsidRPr="00BE736B" w:rsidRDefault="001C5772" w:rsidP="00BE736B">
            <w:pPr>
              <w:ind w:right="720"/>
              <w:rPr>
                <w:rFonts w:ascii="Calibri" w:hAnsi="Calibri" w:cs="Calibri"/>
                <w:sz w:val="20"/>
                <w:szCs w:val="20"/>
              </w:rPr>
            </w:pPr>
          </w:p>
        </w:tc>
        <w:tc>
          <w:tcPr>
            <w:tcW w:w="3117" w:type="dxa"/>
          </w:tcPr>
          <w:p w14:paraId="5A12621E"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104 – </w:t>
            </w:r>
            <w:proofErr w:type="spellStart"/>
            <w:r w:rsidRPr="00BE736B">
              <w:rPr>
                <w:rFonts w:ascii="Calibri" w:hAnsi="Calibri" w:cs="Calibri"/>
                <w:sz w:val="20"/>
                <w:szCs w:val="20"/>
              </w:rPr>
              <w:t>Bayugan</w:t>
            </w:r>
            <w:proofErr w:type="spellEnd"/>
            <w:r w:rsidRPr="00BE736B">
              <w:rPr>
                <w:rFonts w:ascii="Calibri" w:hAnsi="Calibri" w:cs="Calibri"/>
                <w:sz w:val="20"/>
                <w:szCs w:val="20"/>
              </w:rPr>
              <w:t xml:space="preserve">, </w:t>
            </w:r>
            <w:proofErr w:type="spellStart"/>
            <w:r w:rsidRPr="00BE736B">
              <w:rPr>
                <w:rFonts w:ascii="Calibri" w:hAnsi="Calibri" w:cs="Calibri"/>
                <w:sz w:val="20"/>
                <w:szCs w:val="20"/>
              </w:rPr>
              <w:t>Agusan</w:t>
            </w:r>
            <w:proofErr w:type="spellEnd"/>
            <w:r w:rsidRPr="00BE736B">
              <w:rPr>
                <w:rFonts w:ascii="Calibri" w:hAnsi="Calibri" w:cs="Calibri"/>
                <w:sz w:val="20"/>
                <w:szCs w:val="20"/>
              </w:rPr>
              <w:t xml:space="preserve"> del Sur</w:t>
            </w:r>
          </w:p>
          <w:p w14:paraId="0E4B0E04"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105 – Surigao City</w:t>
            </w:r>
          </w:p>
          <w:p w14:paraId="70655F41"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106 – </w:t>
            </w:r>
            <w:proofErr w:type="spellStart"/>
            <w:r w:rsidRPr="00BE736B">
              <w:rPr>
                <w:rFonts w:ascii="Calibri" w:hAnsi="Calibri" w:cs="Calibri"/>
                <w:sz w:val="20"/>
                <w:szCs w:val="20"/>
              </w:rPr>
              <w:t>Tandag</w:t>
            </w:r>
            <w:proofErr w:type="spellEnd"/>
            <w:r w:rsidRPr="00BE736B">
              <w:rPr>
                <w:rFonts w:ascii="Calibri" w:hAnsi="Calibri" w:cs="Calibri"/>
                <w:sz w:val="20"/>
                <w:szCs w:val="20"/>
              </w:rPr>
              <w:t>, Surigao del Sur</w:t>
            </w:r>
          </w:p>
        </w:tc>
        <w:tc>
          <w:tcPr>
            <w:tcW w:w="3117" w:type="dxa"/>
          </w:tcPr>
          <w:p w14:paraId="7C043C77"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3,000,000.00 and below</w:t>
            </w:r>
          </w:p>
        </w:tc>
      </w:tr>
      <w:tr w:rsidR="001C5772" w:rsidRPr="00BE736B" w14:paraId="67FE3CF6" w14:textId="77777777" w:rsidTr="00BE736B">
        <w:tc>
          <w:tcPr>
            <w:tcW w:w="3116" w:type="dxa"/>
            <w:vMerge w:val="restart"/>
          </w:tcPr>
          <w:p w14:paraId="4E03A042"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18 – Koronadal City</w:t>
            </w:r>
          </w:p>
        </w:tc>
        <w:tc>
          <w:tcPr>
            <w:tcW w:w="3117" w:type="dxa"/>
          </w:tcPr>
          <w:p w14:paraId="7C27E5AE"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107 – Cotabato City</w:t>
            </w:r>
          </w:p>
          <w:p w14:paraId="21A33F05"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108 – Kidapawan, North Cotabato</w:t>
            </w:r>
          </w:p>
          <w:p w14:paraId="0EB57192"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109 – </w:t>
            </w:r>
            <w:proofErr w:type="spellStart"/>
            <w:r w:rsidRPr="00BE736B">
              <w:rPr>
                <w:rFonts w:ascii="Calibri" w:hAnsi="Calibri" w:cs="Calibri"/>
                <w:sz w:val="20"/>
                <w:szCs w:val="20"/>
              </w:rPr>
              <w:t>Tacurong</w:t>
            </w:r>
            <w:proofErr w:type="spellEnd"/>
            <w:r w:rsidRPr="00BE736B">
              <w:rPr>
                <w:rFonts w:ascii="Calibri" w:hAnsi="Calibri" w:cs="Calibri"/>
                <w:sz w:val="20"/>
                <w:szCs w:val="20"/>
              </w:rPr>
              <w:t>, Sultan Kudarat</w:t>
            </w:r>
          </w:p>
        </w:tc>
        <w:tc>
          <w:tcPr>
            <w:tcW w:w="3117" w:type="dxa"/>
          </w:tcPr>
          <w:p w14:paraId="61D29DD7"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3,000,000.00 and below</w:t>
            </w:r>
          </w:p>
        </w:tc>
      </w:tr>
      <w:tr w:rsidR="001C5772" w:rsidRPr="00BE736B" w14:paraId="6741064F" w14:textId="77777777" w:rsidTr="00BE736B">
        <w:tc>
          <w:tcPr>
            <w:tcW w:w="3116" w:type="dxa"/>
            <w:vMerge/>
          </w:tcPr>
          <w:p w14:paraId="1F758CE0" w14:textId="77777777" w:rsidR="001C5772" w:rsidRPr="00BE736B" w:rsidRDefault="001C5772" w:rsidP="00BE736B">
            <w:pPr>
              <w:ind w:right="720"/>
              <w:rPr>
                <w:rFonts w:ascii="Calibri" w:hAnsi="Calibri" w:cs="Calibri"/>
                <w:sz w:val="20"/>
                <w:szCs w:val="20"/>
              </w:rPr>
            </w:pPr>
          </w:p>
        </w:tc>
        <w:tc>
          <w:tcPr>
            <w:tcW w:w="3117" w:type="dxa"/>
          </w:tcPr>
          <w:p w14:paraId="7BAA293D"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110 – General Santos City</w:t>
            </w:r>
          </w:p>
          <w:p w14:paraId="49FD0E62"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111 – Koronadal, South Cotabato</w:t>
            </w:r>
          </w:p>
        </w:tc>
        <w:tc>
          <w:tcPr>
            <w:tcW w:w="3117" w:type="dxa"/>
          </w:tcPr>
          <w:p w14:paraId="0C1D9DF2"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70D89E36" w14:textId="77777777" w:rsidTr="00BE736B">
        <w:tc>
          <w:tcPr>
            <w:tcW w:w="3116" w:type="dxa"/>
            <w:vMerge w:val="restart"/>
          </w:tcPr>
          <w:p w14:paraId="449BE3C9" w14:textId="77777777" w:rsidR="001C5772" w:rsidRPr="00BE736B" w:rsidRDefault="001C5772" w:rsidP="00BE736B">
            <w:pPr>
              <w:ind w:right="720"/>
              <w:rPr>
                <w:rFonts w:ascii="Calibri" w:hAnsi="Calibri" w:cs="Calibri"/>
                <w:sz w:val="20"/>
                <w:szCs w:val="20"/>
              </w:rPr>
            </w:pPr>
            <w:r w:rsidRPr="00BE736B">
              <w:rPr>
                <w:rFonts w:ascii="Calibri" w:hAnsi="Calibri" w:cs="Calibri"/>
                <w:sz w:val="20"/>
                <w:szCs w:val="20"/>
              </w:rPr>
              <w:t>19 – Davao City</w:t>
            </w:r>
          </w:p>
        </w:tc>
        <w:tc>
          <w:tcPr>
            <w:tcW w:w="3117" w:type="dxa"/>
          </w:tcPr>
          <w:p w14:paraId="2B7E5CC1"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112 – Tagum, Davao Del Norte</w:t>
            </w:r>
          </w:p>
          <w:p w14:paraId="29B91D93"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114 – Mati, Davao Oriental</w:t>
            </w:r>
          </w:p>
          <w:p w14:paraId="3DB0527D"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 xml:space="preserve">115 – </w:t>
            </w:r>
            <w:proofErr w:type="spellStart"/>
            <w:r w:rsidRPr="00BE736B">
              <w:rPr>
                <w:rFonts w:ascii="Calibri" w:hAnsi="Calibri" w:cs="Calibri"/>
                <w:sz w:val="20"/>
                <w:szCs w:val="20"/>
              </w:rPr>
              <w:t>Digos</w:t>
            </w:r>
            <w:proofErr w:type="spellEnd"/>
            <w:r w:rsidRPr="00BE736B">
              <w:rPr>
                <w:rFonts w:ascii="Calibri" w:hAnsi="Calibri" w:cs="Calibri"/>
                <w:sz w:val="20"/>
                <w:szCs w:val="20"/>
              </w:rPr>
              <w:t>, Davao del Sur</w:t>
            </w:r>
          </w:p>
        </w:tc>
        <w:tc>
          <w:tcPr>
            <w:tcW w:w="3117" w:type="dxa"/>
          </w:tcPr>
          <w:p w14:paraId="30596731"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5,000,000.00 and below</w:t>
            </w:r>
          </w:p>
        </w:tc>
      </w:tr>
      <w:tr w:rsidR="001C5772" w:rsidRPr="00BE736B" w14:paraId="781AF5CF" w14:textId="77777777" w:rsidTr="00BE736B">
        <w:tc>
          <w:tcPr>
            <w:tcW w:w="3116" w:type="dxa"/>
            <w:vMerge/>
          </w:tcPr>
          <w:p w14:paraId="413A6E89" w14:textId="77777777" w:rsidR="001C5772" w:rsidRPr="00BE736B" w:rsidRDefault="001C5772" w:rsidP="00BE736B">
            <w:pPr>
              <w:ind w:right="720"/>
              <w:rPr>
                <w:rFonts w:ascii="Calibri" w:hAnsi="Calibri" w:cs="Calibri"/>
                <w:sz w:val="20"/>
                <w:szCs w:val="20"/>
              </w:rPr>
            </w:pPr>
          </w:p>
        </w:tc>
        <w:tc>
          <w:tcPr>
            <w:tcW w:w="3117" w:type="dxa"/>
          </w:tcPr>
          <w:p w14:paraId="79AF4D6A"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113A – West Davao City</w:t>
            </w:r>
          </w:p>
          <w:p w14:paraId="5539DEEE" w14:textId="77777777" w:rsidR="001C5772" w:rsidRPr="00BE736B" w:rsidRDefault="001C5772" w:rsidP="00BE736B">
            <w:pPr>
              <w:ind w:right="190"/>
              <w:rPr>
                <w:rFonts w:ascii="Calibri" w:hAnsi="Calibri" w:cs="Calibri"/>
                <w:sz w:val="20"/>
                <w:szCs w:val="20"/>
              </w:rPr>
            </w:pPr>
            <w:r w:rsidRPr="00BE736B">
              <w:rPr>
                <w:rFonts w:ascii="Calibri" w:hAnsi="Calibri" w:cs="Calibri"/>
                <w:sz w:val="20"/>
                <w:szCs w:val="20"/>
              </w:rPr>
              <w:t>113B – East Davao City</w:t>
            </w:r>
          </w:p>
        </w:tc>
        <w:tc>
          <w:tcPr>
            <w:tcW w:w="3117" w:type="dxa"/>
          </w:tcPr>
          <w:p w14:paraId="282A4161" w14:textId="77777777" w:rsidR="001C5772" w:rsidRPr="00BE736B" w:rsidRDefault="001C5772" w:rsidP="00BE736B">
            <w:pPr>
              <w:ind w:right="160"/>
              <w:rPr>
                <w:rFonts w:ascii="Calibri" w:hAnsi="Calibri" w:cs="Calibri"/>
                <w:sz w:val="20"/>
                <w:szCs w:val="20"/>
              </w:rPr>
            </w:pPr>
            <w:r w:rsidRPr="00BE736B">
              <w:rPr>
                <w:rFonts w:ascii="Calibri" w:hAnsi="Calibri" w:cs="Calibri"/>
                <w:dstrike/>
                <w:sz w:val="20"/>
                <w:szCs w:val="20"/>
              </w:rPr>
              <w:t>P</w:t>
            </w:r>
            <w:r w:rsidRPr="00BE736B">
              <w:rPr>
                <w:rFonts w:ascii="Calibri" w:hAnsi="Calibri" w:cs="Calibri"/>
                <w:sz w:val="20"/>
                <w:szCs w:val="20"/>
              </w:rPr>
              <w:t xml:space="preserve"> 10,000,000.00 and below</w:t>
            </w:r>
          </w:p>
        </w:tc>
      </w:tr>
    </w:tbl>
    <w:p w14:paraId="3D5502A8" w14:textId="77777777" w:rsidR="001C5772" w:rsidRPr="00BE736B" w:rsidRDefault="001C5772" w:rsidP="001C5772">
      <w:pPr>
        <w:spacing w:after="0" w:line="240" w:lineRule="auto"/>
        <w:rPr>
          <w:rFonts w:ascii="Calibri" w:hAnsi="Calibri" w:cs="Calibri"/>
          <w:b/>
          <w:bCs/>
          <w:sz w:val="20"/>
          <w:szCs w:val="20"/>
        </w:rPr>
      </w:pPr>
    </w:p>
    <w:p w14:paraId="0153B5A3" w14:textId="77777777" w:rsidR="001C5772" w:rsidRPr="00BE736B" w:rsidRDefault="001C5772" w:rsidP="001C5772">
      <w:pPr>
        <w:spacing w:after="0" w:line="240" w:lineRule="auto"/>
        <w:rPr>
          <w:rFonts w:ascii="Calibri" w:hAnsi="Calibri" w:cs="Calibri"/>
          <w:b/>
          <w:bCs/>
          <w:sz w:val="20"/>
          <w:szCs w:val="20"/>
        </w:rPr>
      </w:pPr>
    </w:p>
    <w:p w14:paraId="036BD016" w14:textId="77777777" w:rsidR="001C5772" w:rsidRPr="00BE736B" w:rsidRDefault="001C5772" w:rsidP="001C5772">
      <w:pPr>
        <w:spacing w:after="0" w:line="240" w:lineRule="auto"/>
        <w:rPr>
          <w:rFonts w:ascii="Calibri" w:hAnsi="Calibri" w:cs="Calibri"/>
          <w:b/>
          <w:bCs/>
          <w:sz w:val="20"/>
          <w:szCs w:val="20"/>
        </w:rPr>
      </w:pPr>
    </w:p>
    <w:p w14:paraId="5A1A935D" w14:textId="77777777" w:rsidR="001C5772" w:rsidRPr="00BE736B" w:rsidRDefault="001C5772" w:rsidP="001C5772">
      <w:pPr>
        <w:rPr>
          <w:rFonts w:ascii="Calibri" w:hAnsi="Calibri" w:cs="Calibri"/>
          <w:sz w:val="32"/>
          <w:szCs w:val="32"/>
        </w:rPr>
      </w:pPr>
      <w:r w:rsidRPr="00BE736B">
        <w:rPr>
          <w:rFonts w:ascii="Calibri" w:hAnsi="Calibri" w:cs="Calibri"/>
          <w:sz w:val="32"/>
          <w:szCs w:val="32"/>
        </w:rPr>
        <w:t>Supreme Court Cases</w:t>
      </w:r>
    </w:p>
    <w:p w14:paraId="4894450A"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t xml:space="preserve">The City of Makati vs. The Municipality of </w:t>
      </w:r>
      <w:proofErr w:type="spellStart"/>
      <w:r w:rsidRPr="00BE736B">
        <w:rPr>
          <w:rFonts w:ascii="Calibri" w:hAnsi="Calibri" w:cs="Calibri"/>
          <w:b/>
          <w:bCs/>
          <w:sz w:val="20"/>
          <w:szCs w:val="20"/>
        </w:rPr>
        <w:t>Bakun</w:t>
      </w:r>
      <w:proofErr w:type="spellEnd"/>
      <w:r w:rsidRPr="00BE736B">
        <w:rPr>
          <w:rFonts w:ascii="Calibri" w:hAnsi="Calibri" w:cs="Calibri"/>
          <w:b/>
          <w:bCs/>
          <w:sz w:val="20"/>
          <w:szCs w:val="20"/>
        </w:rPr>
        <w:t xml:space="preserve"> and Luzon Hydro Corporation</w:t>
      </w:r>
    </w:p>
    <w:p w14:paraId="7B295A95"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Supreme Court (First Division) G.R. No. 225226</w:t>
      </w:r>
    </w:p>
    <w:p w14:paraId="7C85110B"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July 7, 2020</w:t>
      </w:r>
    </w:p>
    <w:p w14:paraId="17EBCA36" w14:textId="77777777" w:rsidR="001C5772" w:rsidRPr="00BE736B" w:rsidRDefault="001C5772" w:rsidP="001C5772">
      <w:pPr>
        <w:spacing w:after="0" w:line="240" w:lineRule="auto"/>
        <w:rPr>
          <w:rFonts w:ascii="Calibri" w:hAnsi="Calibri" w:cs="Calibri"/>
          <w:sz w:val="20"/>
          <w:szCs w:val="20"/>
        </w:rPr>
      </w:pPr>
    </w:p>
    <w:p w14:paraId="4BB92CCB"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The SC held that an administrative office is not the same as a project office for purposes of applying the sales allocation rules for local business tax purposes.  As such, the city or municipality where an administrative office is located is not entitled to a portion of the local business tax.</w:t>
      </w:r>
    </w:p>
    <w:p w14:paraId="19F843E9" w14:textId="77777777" w:rsidR="001C5772" w:rsidRPr="00BE736B" w:rsidRDefault="001C5772" w:rsidP="001C5772">
      <w:pPr>
        <w:spacing w:after="0" w:line="240" w:lineRule="auto"/>
        <w:rPr>
          <w:rFonts w:ascii="Calibri" w:hAnsi="Calibri" w:cs="Calibri"/>
          <w:sz w:val="20"/>
          <w:szCs w:val="20"/>
        </w:rPr>
      </w:pPr>
    </w:p>
    <w:p w14:paraId="64520527" w14:textId="77777777" w:rsidR="001C5772" w:rsidRDefault="001C5772" w:rsidP="001C5772">
      <w:pPr>
        <w:spacing w:after="0" w:line="240" w:lineRule="auto"/>
        <w:rPr>
          <w:rFonts w:ascii="Calibri" w:hAnsi="Calibri" w:cs="Calibri"/>
          <w:b/>
          <w:bCs/>
          <w:sz w:val="20"/>
          <w:szCs w:val="20"/>
        </w:rPr>
      </w:pPr>
    </w:p>
    <w:p w14:paraId="399C9C42"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t>Commissioner of Internal Revenue vs. Federation of Golf Clubs of the Philippines, Inc.</w:t>
      </w:r>
    </w:p>
    <w:p w14:paraId="482369D1"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Supreme Court (First Division) G.R. No. 226449</w:t>
      </w:r>
    </w:p>
    <w:p w14:paraId="119F489A"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July 28, 2020</w:t>
      </w:r>
    </w:p>
    <w:p w14:paraId="26B0EEF9" w14:textId="77777777" w:rsidR="001C5772" w:rsidRPr="00BE736B" w:rsidRDefault="001C5772" w:rsidP="001C5772">
      <w:pPr>
        <w:spacing w:after="0" w:line="240" w:lineRule="auto"/>
        <w:rPr>
          <w:rFonts w:ascii="Calibri" w:hAnsi="Calibri" w:cs="Calibri"/>
          <w:sz w:val="20"/>
          <w:szCs w:val="20"/>
        </w:rPr>
      </w:pPr>
    </w:p>
    <w:p w14:paraId="6CCC94AE"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The SC held that membership fees or association dues collected by recreational clubs are not subject to income tax since these are considered as capital and not income. Neither are these considered as gross revenues for VAT purposes since recreational clubs are not selling services to its members.</w:t>
      </w:r>
    </w:p>
    <w:p w14:paraId="7F70C953" w14:textId="77777777" w:rsidR="001C5772" w:rsidRPr="00BE736B" w:rsidRDefault="001C5772" w:rsidP="001C5772">
      <w:pPr>
        <w:rPr>
          <w:rFonts w:ascii="Calibri" w:hAnsi="Calibri" w:cs="Calibri"/>
          <w:sz w:val="20"/>
          <w:szCs w:val="20"/>
        </w:rPr>
      </w:pPr>
    </w:p>
    <w:p w14:paraId="24E86792" w14:textId="77777777" w:rsidR="001C5772" w:rsidRPr="00BE736B" w:rsidRDefault="001C5772" w:rsidP="001C5772">
      <w:pPr>
        <w:rPr>
          <w:rFonts w:ascii="Calibri" w:hAnsi="Calibri" w:cs="Calibri"/>
          <w:b/>
          <w:bCs/>
          <w:sz w:val="32"/>
          <w:szCs w:val="32"/>
        </w:rPr>
      </w:pPr>
      <w:r w:rsidRPr="00BE736B">
        <w:rPr>
          <w:rFonts w:ascii="Calibri" w:hAnsi="Calibri" w:cs="Calibri"/>
          <w:b/>
          <w:bCs/>
          <w:sz w:val="32"/>
          <w:szCs w:val="32"/>
        </w:rPr>
        <w:t>CTA Cases</w:t>
      </w:r>
    </w:p>
    <w:p w14:paraId="02DA0D9B" w14:textId="77777777" w:rsidR="001C5772" w:rsidRPr="00BE736B" w:rsidRDefault="001C5772" w:rsidP="001C5772">
      <w:pPr>
        <w:widowControl w:val="0"/>
        <w:spacing w:after="0" w:line="240" w:lineRule="auto"/>
        <w:rPr>
          <w:rFonts w:ascii="Calibri" w:hAnsi="Calibri" w:cs="Calibri"/>
          <w:b/>
          <w:sz w:val="20"/>
          <w:szCs w:val="20"/>
        </w:rPr>
      </w:pPr>
      <w:r w:rsidRPr="00BE736B">
        <w:rPr>
          <w:rFonts w:ascii="Calibri" w:hAnsi="Calibri" w:cs="Calibri"/>
          <w:b/>
          <w:sz w:val="20"/>
          <w:szCs w:val="20"/>
        </w:rPr>
        <w:t>Classic Fine Foods Philippines, Inc. vs. Commissioner of Internal Revenue</w:t>
      </w:r>
    </w:p>
    <w:p w14:paraId="0248A451" w14:textId="77777777" w:rsidR="001C5772" w:rsidRPr="00BE736B" w:rsidRDefault="001C5772" w:rsidP="001C5772">
      <w:pPr>
        <w:widowControl w:val="0"/>
        <w:spacing w:after="0" w:line="240" w:lineRule="auto"/>
        <w:rPr>
          <w:rFonts w:ascii="Calibri" w:hAnsi="Calibri" w:cs="Calibri"/>
          <w:bCs/>
          <w:sz w:val="20"/>
          <w:szCs w:val="20"/>
        </w:rPr>
      </w:pPr>
      <w:r w:rsidRPr="00BE736B">
        <w:rPr>
          <w:rFonts w:ascii="Calibri" w:hAnsi="Calibri" w:cs="Calibri"/>
          <w:bCs/>
          <w:sz w:val="20"/>
          <w:szCs w:val="20"/>
        </w:rPr>
        <w:t xml:space="preserve">CTA Case No. 9391 </w:t>
      </w:r>
    </w:p>
    <w:p w14:paraId="37D462F6" w14:textId="77777777" w:rsidR="001C5772" w:rsidRPr="00BE736B" w:rsidRDefault="001C5772" w:rsidP="001C5772">
      <w:pPr>
        <w:widowControl w:val="0"/>
        <w:spacing w:after="0" w:line="240" w:lineRule="auto"/>
        <w:rPr>
          <w:rFonts w:ascii="Calibri" w:hAnsi="Calibri" w:cs="Calibri"/>
          <w:bCs/>
          <w:sz w:val="20"/>
          <w:szCs w:val="20"/>
        </w:rPr>
      </w:pPr>
      <w:r w:rsidRPr="00BE736B">
        <w:rPr>
          <w:rFonts w:ascii="Calibri" w:hAnsi="Calibri" w:cs="Calibri"/>
          <w:bCs/>
          <w:sz w:val="20"/>
          <w:szCs w:val="20"/>
        </w:rPr>
        <w:t>17 December 2020</w:t>
      </w:r>
    </w:p>
    <w:p w14:paraId="69E5564B" w14:textId="77777777" w:rsidR="001C5772" w:rsidRPr="00BE736B" w:rsidRDefault="001C5772" w:rsidP="001C5772">
      <w:pPr>
        <w:widowControl w:val="0"/>
        <w:spacing w:after="0" w:line="240" w:lineRule="auto"/>
        <w:rPr>
          <w:rFonts w:ascii="Calibri" w:hAnsi="Calibri" w:cs="Calibri"/>
          <w:b/>
          <w:sz w:val="20"/>
          <w:szCs w:val="20"/>
        </w:rPr>
      </w:pPr>
    </w:p>
    <w:p w14:paraId="1E2C7921" w14:textId="77777777" w:rsidR="001C5772" w:rsidRPr="00BE736B" w:rsidRDefault="001C5772" w:rsidP="001C5772">
      <w:pPr>
        <w:widowControl w:val="0"/>
        <w:spacing w:after="0" w:line="240" w:lineRule="auto"/>
        <w:rPr>
          <w:rFonts w:ascii="Calibri" w:hAnsi="Calibri" w:cs="Calibri"/>
          <w:bCs/>
          <w:sz w:val="20"/>
          <w:szCs w:val="20"/>
        </w:rPr>
      </w:pPr>
      <w:r w:rsidRPr="00BE736B">
        <w:rPr>
          <w:rFonts w:ascii="Calibri" w:hAnsi="Calibri" w:cs="Calibri"/>
          <w:bCs/>
          <w:sz w:val="20"/>
          <w:szCs w:val="20"/>
        </w:rPr>
        <w:t>The CTA held that deductions for income tax purposes partake of the nature of tax exemptions and are strictly construed against the taxpayer, who must prove by convincing evidence that it is entitled to the deduction claimed.</w:t>
      </w:r>
    </w:p>
    <w:p w14:paraId="2B2FA076" w14:textId="77777777" w:rsidR="001C5772" w:rsidRDefault="001C5772" w:rsidP="001C5772">
      <w:pPr>
        <w:rPr>
          <w:rFonts w:ascii="Calibri" w:hAnsi="Calibri" w:cs="Calibri"/>
          <w:sz w:val="20"/>
          <w:szCs w:val="20"/>
        </w:rPr>
      </w:pPr>
    </w:p>
    <w:p w14:paraId="5D2B8E8E"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lastRenderedPageBreak/>
        <w:t>Service Resources, Inc. vs. Commissioner of Internal Revenue</w:t>
      </w:r>
    </w:p>
    <w:p w14:paraId="6B08C68F"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CTA No. 9978 </w:t>
      </w:r>
    </w:p>
    <w:p w14:paraId="4AB64825"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04 January 2021</w:t>
      </w:r>
    </w:p>
    <w:p w14:paraId="4DFA985F" w14:textId="77777777" w:rsidR="001C5772" w:rsidRPr="00BE736B" w:rsidRDefault="001C5772" w:rsidP="001C5772">
      <w:pPr>
        <w:spacing w:after="0" w:line="240" w:lineRule="auto"/>
        <w:rPr>
          <w:rFonts w:ascii="Calibri" w:hAnsi="Calibri" w:cs="Calibri"/>
          <w:sz w:val="20"/>
          <w:szCs w:val="20"/>
        </w:rPr>
      </w:pPr>
    </w:p>
    <w:p w14:paraId="21B441B1"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The CTA reiterated the following requirements for entitlement of a corporate taxpayer to a refund or issuance of TCC involving excess withholding taxes: (1) The claim for refund was filed within the two-year reglementary period pursuant to Section 229 of the Tax Cod; (2) It is shown on the ITR that the income payment received is being declared part of the taxpayer's gross income; and (3) The fact of withholding is established by a copy of the withholding tax statement, duly issued by the payor to the payee, showing the amount paid and income tax withheld from that amount.</w:t>
      </w:r>
    </w:p>
    <w:p w14:paraId="1B48DA3A" w14:textId="77777777" w:rsidR="001C5772" w:rsidRDefault="001C5772" w:rsidP="001C5772">
      <w:pPr>
        <w:rPr>
          <w:rFonts w:ascii="Calibri" w:hAnsi="Calibri" w:cs="Calibri"/>
          <w:sz w:val="20"/>
          <w:szCs w:val="20"/>
        </w:rPr>
      </w:pPr>
    </w:p>
    <w:p w14:paraId="54E89C04" w14:textId="77777777" w:rsidR="001C5772" w:rsidRPr="00BE736B" w:rsidRDefault="001C5772" w:rsidP="001C5772">
      <w:pPr>
        <w:pStyle w:val="NoSpacing"/>
        <w:rPr>
          <w:rFonts w:ascii="Calibri" w:hAnsi="Calibri" w:cs="Calibri"/>
          <w:b/>
          <w:bCs/>
          <w:sz w:val="20"/>
          <w:szCs w:val="20"/>
        </w:rPr>
      </w:pPr>
    </w:p>
    <w:p w14:paraId="7AB62116" w14:textId="77777777" w:rsidR="001C5772" w:rsidRPr="00BE736B" w:rsidRDefault="001C5772" w:rsidP="001C5772">
      <w:pPr>
        <w:pStyle w:val="NoSpacing"/>
        <w:rPr>
          <w:rFonts w:ascii="Calibri" w:hAnsi="Calibri" w:cs="Calibri"/>
          <w:b/>
          <w:bCs/>
          <w:sz w:val="20"/>
          <w:szCs w:val="20"/>
        </w:rPr>
      </w:pPr>
      <w:r w:rsidRPr="00BE736B">
        <w:rPr>
          <w:rFonts w:ascii="Calibri" w:hAnsi="Calibri" w:cs="Calibri"/>
          <w:b/>
          <w:bCs/>
          <w:sz w:val="20"/>
          <w:szCs w:val="20"/>
        </w:rPr>
        <w:t>Linde Philippines Inc. vs. Commissioner of Internal Revenue</w:t>
      </w:r>
    </w:p>
    <w:p w14:paraId="38204ED1" w14:textId="77777777" w:rsidR="001C5772" w:rsidRPr="00BE736B" w:rsidRDefault="001C5772" w:rsidP="001C5772">
      <w:pPr>
        <w:pStyle w:val="NoSpacing"/>
        <w:rPr>
          <w:rFonts w:ascii="Calibri" w:hAnsi="Calibri" w:cs="Calibri"/>
          <w:sz w:val="20"/>
          <w:szCs w:val="20"/>
        </w:rPr>
      </w:pPr>
      <w:r w:rsidRPr="00BE736B">
        <w:rPr>
          <w:rFonts w:ascii="Calibri" w:hAnsi="Calibri" w:cs="Calibri"/>
          <w:sz w:val="20"/>
          <w:szCs w:val="20"/>
        </w:rPr>
        <w:t xml:space="preserve">CTA </w:t>
      </w:r>
      <w:proofErr w:type="spellStart"/>
      <w:r w:rsidRPr="00BE736B">
        <w:rPr>
          <w:rFonts w:ascii="Calibri" w:hAnsi="Calibri" w:cs="Calibri"/>
          <w:sz w:val="20"/>
          <w:szCs w:val="20"/>
        </w:rPr>
        <w:t>En</w:t>
      </w:r>
      <w:proofErr w:type="spellEnd"/>
      <w:r w:rsidRPr="00BE736B">
        <w:rPr>
          <w:rFonts w:ascii="Calibri" w:hAnsi="Calibri" w:cs="Calibri"/>
          <w:sz w:val="20"/>
          <w:szCs w:val="20"/>
        </w:rPr>
        <w:t xml:space="preserve"> Banc No. 2194 </w:t>
      </w:r>
    </w:p>
    <w:p w14:paraId="4A7C6B49" w14:textId="77777777" w:rsidR="001C5772" w:rsidRPr="00BE736B" w:rsidRDefault="001C5772" w:rsidP="001C5772">
      <w:pPr>
        <w:pStyle w:val="NoSpacing"/>
        <w:rPr>
          <w:rFonts w:ascii="Calibri" w:hAnsi="Calibri" w:cs="Calibri"/>
          <w:sz w:val="20"/>
          <w:szCs w:val="20"/>
        </w:rPr>
      </w:pPr>
      <w:r w:rsidRPr="00BE736B">
        <w:rPr>
          <w:rFonts w:ascii="Calibri" w:hAnsi="Calibri" w:cs="Calibri"/>
          <w:sz w:val="20"/>
          <w:szCs w:val="20"/>
        </w:rPr>
        <w:t>5 January 2021</w:t>
      </w:r>
    </w:p>
    <w:p w14:paraId="222CB4AD" w14:textId="77777777" w:rsidR="001C5772" w:rsidRPr="00BE736B" w:rsidRDefault="001C5772" w:rsidP="001C5772">
      <w:pPr>
        <w:spacing w:after="0" w:line="240" w:lineRule="auto"/>
        <w:rPr>
          <w:rFonts w:ascii="Calibri" w:hAnsi="Calibri" w:cs="Calibri"/>
          <w:sz w:val="20"/>
          <w:szCs w:val="20"/>
        </w:rPr>
      </w:pPr>
    </w:p>
    <w:p w14:paraId="281C0C91"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The CTA held that the authority of a revenue officer to conduct the audit investigation goes into the validity of an assessment. Stated differently, an assessment arising from the conduct of audit and examination of a taxpayer's books of accounts and other accounting records by a revenue officer who is not duly authorized to do so is a complete nullity. A void assessment bears no valid fruit. It is only the CIR or his duly authorized representatives who can authorize the audit examination of taxpayers for purposes of assessment of any deficiency taxes. Stated differently, unless duly authorized by the CIR himself or by his duly authorized representatives, an examination of the taxpayer by a revenue officer cannot be validly made.</w:t>
      </w:r>
    </w:p>
    <w:p w14:paraId="571AE799" w14:textId="77777777" w:rsidR="001C5772" w:rsidRPr="00BE736B" w:rsidRDefault="001C5772" w:rsidP="001C5772">
      <w:pPr>
        <w:spacing w:after="0" w:line="240" w:lineRule="auto"/>
        <w:rPr>
          <w:rFonts w:ascii="Calibri" w:hAnsi="Calibri" w:cs="Calibri"/>
          <w:sz w:val="20"/>
          <w:szCs w:val="20"/>
        </w:rPr>
      </w:pPr>
    </w:p>
    <w:p w14:paraId="3E33B904"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To be entitled to a refund of erroneously or illegally collected tax, the following requisites must be satisfied: (a)That there must be an erroneous or illegal collection of tax, or a penalty collected without authority, or sum excessively or wrongfully collected; (b)That the claim for refund has been duly filed with the Commissioner, within two (2) years after the payment of tax or penalty; and (c) That the suit or proceeding is instituted with this Court within two (2) years from the date of payment of the tax or penalty.</w:t>
      </w:r>
    </w:p>
    <w:p w14:paraId="614D9F86" w14:textId="77777777" w:rsidR="001C5772" w:rsidRDefault="001C5772" w:rsidP="001C5772">
      <w:pPr>
        <w:rPr>
          <w:rFonts w:ascii="Calibri" w:hAnsi="Calibri" w:cs="Calibri"/>
          <w:sz w:val="20"/>
          <w:szCs w:val="20"/>
        </w:rPr>
      </w:pPr>
    </w:p>
    <w:p w14:paraId="79EDC60C" w14:textId="77777777" w:rsidR="001C5772" w:rsidRDefault="001C5772" w:rsidP="001C5772">
      <w:pPr>
        <w:spacing w:after="0" w:line="240" w:lineRule="auto"/>
        <w:rPr>
          <w:rFonts w:ascii="Calibri" w:hAnsi="Calibri" w:cs="Calibri"/>
          <w:b/>
          <w:bCs/>
          <w:sz w:val="20"/>
          <w:szCs w:val="20"/>
        </w:rPr>
      </w:pPr>
    </w:p>
    <w:p w14:paraId="31D3A98E"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t>Dizon Farms Produce, Inc. vs. Commissioner of Internal Revenue</w:t>
      </w:r>
    </w:p>
    <w:p w14:paraId="201C7558"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CTA Case No. 9711 </w:t>
      </w:r>
    </w:p>
    <w:p w14:paraId="7ECE72C1"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05 January 2021</w:t>
      </w:r>
    </w:p>
    <w:p w14:paraId="51154262" w14:textId="77777777" w:rsidR="001C5772" w:rsidRPr="00BE736B" w:rsidRDefault="001C5772" w:rsidP="001C5772">
      <w:pPr>
        <w:spacing w:after="0" w:line="240" w:lineRule="auto"/>
        <w:rPr>
          <w:rFonts w:ascii="Calibri" w:hAnsi="Calibri" w:cs="Calibri"/>
          <w:sz w:val="20"/>
          <w:szCs w:val="20"/>
        </w:rPr>
      </w:pPr>
    </w:p>
    <w:p w14:paraId="37A09593"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The CTA held that Section 3 of Revenue Regulations (RR) No. 12 – 99, as amended by RR 18 – 2013 expressly provides that if a taxpayer, within fifteen (15) days from the date of receipt of the Preliminary Assessment Notice, responds that he/it disagrees with the findings of deficiency tax or taxes, a Formal Letter of Demand / Final Assessment Notice shall be issued within fifteen (15) days from filing/submission of the taxpayer’s response. </w:t>
      </w:r>
    </w:p>
    <w:p w14:paraId="2696F86D" w14:textId="77777777" w:rsidR="001C5772" w:rsidRPr="00BE736B" w:rsidRDefault="001C5772" w:rsidP="001C5772">
      <w:pPr>
        <w:rPr>
          <w:rFonts w:ascii="Calibri" w:hAnsi="Calibri" w:cs="Calibri"/>
          <w:sz w:val="20"/>
          <w:szCs w:val="20"/>
        </w:rPr>
      </w:pPr>
    </w:p>
    <w:p w14:paraId="08C54724" w14:textId="77777777" w:rsidR="001C5772" w:rsidRPr="00BE736B" w:rsidRDefault="001C5772" w:rsidP="001C5772">
      <w:pPr>
        <w:spacing w:after="0" w:line="240" w:lineRule="auto"/>
        <w:rPr>
          <w:rFonts w:ascii="Calibri" w:eastAsia="Times New Roman" w:hAnsi="Calibri" w:cs="Calibri"/>
          <w:b/>
          <w:bCs/>
          <w:color w:val="000000"/>
          <w:sz w:val="20"/>
          <w:szCs w:val="20"/>
        </w:rPr>
      </w:pPr>
      <w:proofErr w:type="spellStart"/>
      <w:r w:rsidRPr="00BE736B">
        <w:rPr>
          <w:rFonts w:ascii="Calibri" w:eastAsia="Times New Roman" w:hAnsi="Calibri" w:cs="Calibri"/>
          <w:b/>
          <w:bCs/>
          <w:color w:val="000000"/>
          <w:sz w:val="20"/>
          <w:szCs w:val="20"/>
        </w:rPr>
        <w:t>Philex</w:t>
      </w:r>
      <w:proofErr w:type="spellEnd"/>
      <w:r w:rsidRPr="00BE736B">
        <w:rPr>
          <w:rFonts w:ascii="Calibri" w:eastAsia="Times New Roman" w:hAnsi="Calibri" w:cs="Calibri"/>
          <w:b/>
          <w:bCs/>
          <w:color w:val="000000"/>
          <w:sz w:val="20"/>
          <w:szCs w:val="20"/>
        </w:rPr>
        <w:t xml:space="preserve"> Mining Corporation vs. Commissioner of Internal Revenue </w:t>
      </w:r>
    </w:p>
    <w:p w14:paraId="1346E5E1"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eastAsia="Times New Roman" w:hAnsi="Calibri" w:cs="Calibri"/>
          <w:color w:val="000000"/>
          <w:sz w:val="20"/>
          <w:szCs w:val="20"/>
        </w:rPr>
        <w:t xml:space="preserve">CTA Case No. 10037 </w:t>
      </w:r>
    </w:p>
    <w:p w14:paraId="21EDAC40"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eastAsia="Times New Roman" w:hAnsi="Calibri" w:cs="Calibri"/>
          <w:color w:val="000000"/>
          <w:sz w:val="20"/>
          <w:szCs w:val="20"/>
        </w:rPr>
        <w:t>5 January 2021</w:t>
      </w:r>
    </w:p>
    <w:p w14:paraId="35F5DFFA" w14:textId="77777777" w:rsidR="001C5772" w:rsidRPr="00BE736B" w:rsidRDefault="001C5772" w:rsidP="001C5772">
      <w:pPr>
        <w:spacing w:after="0" w:line="240" w:lineRule="auto"/>
        <w:rPr>
          <w:rFonts w:ascii="Calibri" w:hAnsi="Calibri" w:cs="Calibri"/>
          <w:sz w:val="20"/>
          <w:szCs w:val="20"/>
        </w:rPr>
      </w:pPr>
    </w:p>
    <w:p w14:paraId="349E53A9"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The CTA held that the party claiming for Input VAT credit/refund must not only prove entitlement to the claim but also compliance with all the documentary and evidentiary requirements. Input VAT claimed for credit/refund must not be supported by mere photocopies. </w:t>
      </w:r>
    </w:p>
    <w:p w14:paraId="38FC4C11" w14:textId="77777777" w:rsidR="001C5772" w:rsidRPr="00BE736B" w:rsidRDefault="001C5772" w:rsidP="001C5772">
      <w:pPr>
        <w:spacing w:after="0" w:line="240" w:lineRule="auto"/>
        <w:rPr>
          <w:rFonts w:ascii="Calibri" w:eastAsia="Times New Roman" w:hAnsi="Calibri" w:cs="Calibri"/>
          <w:b/>
          <w:bCs/>
          <w:color w:val="000000"/>
          <w:sz w:val="20"/>
          <w:szCs w:val="20"/>
        </w:rPr>
      </w:pPr>
    </w:p>
    <w:p w14:paraId="41FF0191" w14:textId="77777777" w:rsidR="001C5772" w:rsidRPr="00BE736B" w:rsidRDefault="001C5772" w:rsidP="001C5772">
      <w:pPr>
        <w:spacing w:after="0" w:line="240" w:lineRule="auto"/>
        <w:rPr>
          <w:rFonts w:ascii="Calibri" w:eastAsia="Times New Roman" w:hAnsi="Calibri" w:cs="Calibri"/>
          <w:b/>
          <w:bCs/>
          <w:color w:val="000000"/>
          <w:sz w:val="20"/>
          <w:szCs w:val="20"/>
        </w:rPr>
      </w:pPr>
      <w:r w:rsidRPr="00BE736B">
        <w:rPr>
          <w:rFonts w:ascii="Calibri" w:eastAsia="Times New Roman" w:hAnsi="Calibri" w:cs="Calibri"/>
          <w:b/>
          <w:bCs/>
          <w:color w:val="000000"/>
          <w:sz w:val="20"/>
          <w:szCs w:val="20"/>
        </w:rPr>
        <w:t>Level Up, Inc. vs. Commissioner of Internal Revenue</w:t>
      </w:r>
    </w:p>
    <w:p w14:paraId="6EEBE5E6"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eastAsia="Times New Roman" w:hAnsi="Calibri" w:cs="Calibri"/>
          <w:color w:val="000000"/>
          <w:sz w:val="20"/>
          <w:szCs w:val="20"/>
        </w:rPr>
        <w:t xml:space="preserve">CTA </w:t>
      </w:r>
      <w:proofErr w:type="spellStart"/>
      <w:r w:rsidRPr="00BE736B">
        <w:rPr>
          <w:rFonts w:ascii="Calibri" w:eastAsia="Times New Roman" w:hAnsi="Calibri" w:cs="Calibri"/>
          <w:color w:val="000000"/>
          <w:sz w:val="20"/>
          <w:szCs w:val="20"/>
        </w:rPr>
        <w:t>En</w:t>
      </w:r>
      <w:proofErr w:type="spellEnd"/>
      <w:r w:rsidRPr="00BE736B">
        <w:rPr>
          <w:rFonts w:ascii="Calibri" w:eastAsia="Times New Roman" w:hAnsi="Calibri" w:cs="Calibri"/>
          <w:color w:val="000000"/>
          <w:sz w:val="20"/>
          <w:szCs w:val="20"/>
        </w:rPr>
        <w:t xml:space="preserve"> Banc No. 2069 (CTA Case No. 9424) </w:t>
      </w:r>
    </w:p>
    <w:p w14:paraId="6ADF9AAB"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eastAsia="Times New Roman" w:hAnsi="Calibri" w:cs="Calibri"/>
          <w:color w:val="000000"/>
          <w:sz w:val="20"/>
          <w:szCs w:val="20"/>
        </w:rPr>
        <w:lastRenderedPageBreak/>
        <w:t>6 January 2021</w:t>
      </w:r>
    </w:p>
    <w:p w14:paraId="1F3D848A" w14:textId="77777777" w:rsidR="001C5772" w:rsidRPr="00BE736B" w:rsidRDefault="001C5772" w:rsidP="001C5772">
      <w:pPr>
        <w:spacing w:after="0" w:line="240" w:lineRule="auto"/>
        <w:rPr>
          <w:rFonts w:ascii="Calibri" w:eastAsia="Times New Roman" w:hAnsi="Calibri" w:cs="Calibri"/>
          <w:color w:val="000000"/>
          <w:sz w:val="20"/>
          <w:szCs w:val="20"/>
        </w:rPr>
      </w:pPr>
    </w:p>
    <w:p w14:paraId="161263B3"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The CTA held that the taxpayer may only be assessed in the succeeding quarter the excess input tax has been carried forward. BIR cannot disallow excess input tax carried forward to succeeding period in the current period of assessment because it is beyond the scope of the assessment of the BIR. </w:t>
      </w:r>
    </w:p>
    <w:p w14:paraId="5A877B07" w14:textId="77777777" w:rsidR="001C5772" w:rsidRPr="00BE736B" w:rsidRDefault="001C5772" w:rsidP="001C5772">
      <w:pPr>
        <w:spacing w:after="0" w:line="240" w:lineRule="auto"/>
        <w:rPr>
          <w:rFonts w:ascii="Calibri" w:hAnsi="Calibri" w:cs="Calibri"/>
          <w:sz w:val="20"/>
          <w:szCs w:val="20"/>
        </w:rPr>
      </w:pPr>
    </w:p>
    <w:p w14:paraId="1A87B3CE"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hAnsi="Calibri" w:cs="Calibri"/>
          <w:sz w:val="20"/>
          <w:szCs w:val="20"/>
        </w:rPr>
        <w:t xml:space="preserve">Summary List of Purchases (SLP) alone will not suffice </w:t>
      </w:r>
      <w:r w:rsidRPr="00BE736B">
        <w:rPr>
          <w:rFonts w:ascii="Calibri" w:eastAsia="Times New Roman" w:hAnsi="Calibri" w:cs="Calibri"/>
          <w:color w:val="000000"/>
          <w:sz w:val="20"/>
          <w:szCs w:val="20"/>
        </w:rPr>
        <w:t>to substantiate/establish existence of purchase of goods or services.</w:t>
      </w:r>
    </w:p>
    <w:p w14:paraId="6309ADC4" w14:textId="77777777" w:rsidR="001C5772" w:rsidRPr="00BE736B" w:rsidRDefault="001C5772" w:rsidP="001C5772">
      <w:pPr>
        <w:spacing w:after="0" w:line="240" w:lineRule="auto"/>
        <w:rPr>
          <w:rFonts w:ascii="Calibri" w:hAnsi="Calibri" w:cs="Calibri"/>
          <w:b/>
          <w:bCs/>
          <w:sz w:val="20"/>
          <w:szCs w:val="20"/>
        </w:rPr>
      </w:pPr>
    </w:p>
    <w:p w14:paraId="055C206F" w14:textId="77777777" w:rsidR="001C5772" w:rsidRPr="00BE736B" w:rsidRDefault="001C5772" w:rsidP="001C5772">
      <w:pPr>
        <w:spacing w:after="0" w:line="240" w:lineRule="auto"/>
        <w:rPr>
          <w:rFonts w:ascii="Calibri" w:hAnsi="Calibri" w:cs="Calibri"/>
          <w:b/>
          <w:bCs/>
          <w:sz w:val="20"/>
          <w:szCs w:val="20"/>
        </w:rPr>
      </w:pPr>
    </w:p>
    <w:p w14:paraId="3A54E8D7"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t xml:space="preserve">People of the Philippines vs. Ulysses </w:t>
      </w:r>
      <w:proofErr w:type="spellStart"/>
      <w:r w:rsidRPr="00BE736B">
        <w:rPr>
          <w:rFonts w:ascii="Calibri" w:hAnsi="Calibri" w:cs="Calibri"/>
          <w:b/>
          <w:bCs/>
          <w:sz w:val="20"/>
          <w:szCs w:val="20"/>
        </w:rPr>
        <w:t>Palconet</w:t>
      </w:r>
      <w:proofErr w:type="spellEnd"/>
      <w:r w:rsidRPr="00BE736B">
        <w:rPr>
          <w:rFonts w:ascii="Calibri" w:hAnsi="Calibri" w:cs="Calibri"/>
          <w:b/>
          <w:bCs/>
          <w:sz w:val="20"/>
          <w:szCs w:val="20"/>
        </w:rPr>
        <w:t xml:space="preserve"> </w:t>
      </w:r>
      <w:proofErr w:type="spellStart"/>
      <w:r w:rsidRPr="00BE736B">
        <w:rPr>
          <w:rFonts w:ascii="Calibri" w:hAnsi="Calibri" w:cs="Calibri"/>
          <w:b/>
          <w:bCs/>
          <w:sz w:val="20"/>
          <w:szCs w:val="20"/>
        </w:rPr>
        <w:t>Consebido</w:t>
      </w:r>
      <w:proofErr w:type="spellEnd"/>
    </w:p>
    <w:p w14:paraId="66754184"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CTA </w:t>
      </w:r>
      <w:proofErr w:type="spellStart"/>
      <w:r w:rsidRPr="00BE736B">
        <w:rPr>
          <w:rFonts w:ascii="Calibri" w:hAnsi="Calibri" w:cs="Calibri"/>
          <w:sz w:val="20"/>
          <w:szCs w:val="20"/>
        </w:rPr>
        <w:t>En</w:t>
      </w:r>
      <w:proofErr w:type="spellEnd"/>
      <w:r w:rsidRPr="00BE736B">
        <w:rPr>
          <w:rFonts w:ascii="Calibri" w:hAnsi="Calibri" w:cs="Calibri"/>
          <w:sz w:val="20"/>
          <w:szCs w:val="20"/>
        </w:rPr>
        <w:t xml:space="preserve"> Banc Criminal Case No. 069 (CTA Criminal Case No. O-701) </w:t>
      </w:r>
    </w:p>
    <w:p w14:paraId="3B5F54BF"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6 January 2021</w:t>
      </w:r>
    </w:p>
    <w:p w14:paraId="5342FD86" w14:textId="77777777" w:rsidR="001C5772" w:rsidRPr="00BE736B" w:rsidRDefault="001C5772" w:rsidP="001C5772">
      <w:pPr>
        <w:spacing w:after="0" w:line="240" w:lineRule="auto"/>
        <w:rPr>
          <w:rFonts w:ascii="Calibri" w:hAnsi="Calibri" w:cs="Calibri"/>
          <w:sz w:val="20"/>
          <w:szCs w:val="20"/>
        </w:rPr>
      </w:pPr>
    </w:p>
    <w:p w14:paraId="4C04EB39"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The CTA held that both the date of discovery and the institution of judicial proceedings for investigation and punishment are significant events in the prosecution of any infraction of the Tax Code. It was observed that as long as the period from the discovery and institution of judicial proceedings for its investigation and punishment up to the filing of the Information in court does not exceed five (5) years, then the government’s right to file a criminal action is not yet prescribed.</w:t>
      </w:r>
    </w:p>
    <w:p w14:paraId="73C0D8F9" w14:textId="77777777" w:rsidR="001C5772" w:rsidRPr="00BE736B" w:rsidRDefault="001C5772" w:rsidP="001C5772">
      <w:pPr>
        <w:spacing w:after="0" w:line="240" w:lineRule="auto"/>
        <w:rPr>
          <w:rFonts w:ascii="Calibri" w:hAnsi="Calibri" w:cs="Calibri"/>
          <w:b/>
          <w:bCs/>
          <w:color w:val="000000"/>
          <w:sz w:val="20"/>
          <w:szCs w:val="20"/>
        </w:rPr>
      </w:pPr>
    </w:p>
    <w:p w14:paraId="4850BE8B" w14:textId="77777777" w:rsidR="001C5772" w:rsidRPr="00BE736B" w:rsidRDefault="001C5772" w:rsidP="001C5772">
      <w:pPr>
        <w:spacing w:after="0" w:line="240" w:lineRule="auto"/>
        <w:contextualSpacing/>
        <w:rPr>
          <w:rFonts w:ascii="Calibri" w:hAnsi="Calibri" w:cs="Calibri"/>
          <w:sz w:val="20"/>
          <w:szCs w:val="20"/>
        </w:rPr>
      </w:pPr>
    </w:p>
    <w:p w14:paraId="5CAABE86"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t xml:space="preserve">The Municipal Treasurer of the Municipality of </w:t>
      </w:r>
      <w:proofErr w:type="spellStart"/>
      <w:r w:rsidRPr="00BE736B">
        <w:rPr>
          <w:rFonts w:ascii="Calibri" w:hAnsi="Calibri" w:cs="Calibri"/>
          <w:b/>
          <w:bCs/>
          <w:sz w:val="20"/>
          <w:szCs w:val="20"/>
        </w:rPr>
        <w:t>Claver</w:t>
      </w:r>
      <w:proofErr w:type="spellEnd"/>
      <w:r w:rsidRPr="00BE736B">
        <w:rPr>
          <w:rFonts w:ascii="Calibri" w:hAnsi="Calibri" w:cs="Calibri"/>
          <w:b/>
          <w:bCs/>
          <w:sz w:val="20"/>
          <w:szCs w:val="20"/>
        </w:rPr>
        <w:t xml:space="preserve"> vs. Platinum Group Metals Corporation</w:t>
      </w:r>
    </w:p>
    <w:p w14:paraId="1D5C0754"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CTA </w:t>
      </w:r>
      <w:proofErr w:type="spellStart"/>
      <w:r w:rsidRPr="00BE736B">
        <w:rPr>
          <w:rFonts w:ascii="Calibri" w:hAnsi="Calibri" w:cs="Calibri"/>
          <w:sz w:val="20"/>
          <w:szCs w:val="20"/>
        </w:rPr>
        <w:t>En</w:t>
      </w:r>
      <w:proofErr w:type="spellEnd"/>
      <w:r w:rsidRPr="00BE736B">
        <w:rPr>
          <w:rFonts w:ascii="Calibri" w:hAnsi="Calibri" w:cs="Calibri"/>
          <w:sz w:val="20"/>
          <w:szCs w:val="20"/>
        </w:rPr>
        <w:t xml:space="preserve"> Banc No. 2157 (CTA AC No. 182) </w:t>
      </w:r>
    </w:p>
    <w:p w14:paraId="6E91E386"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7 January 2021</w:t>
      </w:r>
    </w:p>
    <w:p w14:paraId="6DD28CDB" w14:textId="77777777" w:rsidR="001C5772" w:rsidRPr="00BE736B" w:rsidRDefault="001C5772" w:rsidP="001C5772">
      <w:pPr>
        <w:spacing w:after="0" w:line="240" w:lineRule="auto"/>
        <w:rPr>
          <w:rFonts w:ascii="Calibri" w:hAnsi="Calibri" w:cs="Calibri"/>
          <w:b/>
          <w:bCs/>
          <w:sz w:val="20"/>
          <w:szCs w:val="20"/>
        </w:rPr>
      </w:pPr>
    </w:p>
    <w:p w14:paraId="41728D18"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The CTA held that </w:t>
      </w:r>
      <w:proofErr w:type="gramStart"/>
      <w:r w:rsidRPr="00BE736B">
        <w:rPr>
          <w:rFonts w:ascii="Calibri" w:hAnsi="Calibri" w:cs="Calibri"/>
          <w:sz w:val="20"/>
          <w:szCs w:val="20"/>
        </w:rPr>
        <w:t>in order for</w:t>
      </w:r>
      <w:proofErr w:type="gramEnd"/>
      <w:r w:rsidRPr="00BE736B">
        <w:rPr>
          <w:rFonts w:ascii="Calibri" w:hAnsi="Calibri" w:cs="Calibri"/>
          <w:sz w:val="20"/>
          <w:szCs w:val="20"/>
        </w:rPr>
        <w:t xml:space="preserve"> the tax base used in assessing Local Business Tax to be in accordance with the Local Government Code, the same should be based on gross receipts or the amount of consideration actually or constructively received. The consideration should be under the control of respondent without imposed restrictions as to its use. A Notice of Assessment issued upon a tax base not in accordance with the mandates of law shall render it void.</w:t>
      </w:r>
    </w:p>
    <w:p w14:paraId="629B9BF9" w14:textId="77777777" w:rsidR="001C5772" w:rsidRPr="00BE736B" w:rsidRDefault="001C5772" w:rsidP="001C5772">
      <w:pPr>
        <w:spacing w:after="0" w:line="240" w:lineRule="auto"/>
        <w:rPr>
          <w:rFonts w:ascii="Calibri" w:hAnsi="Calibri" w:cs="Calibri"/>
          <w:sz w:val="20"/>
          <w:szCs w:val="20"/>
        </w:rPr>
      </w:pPr>
    </w:p>
    <w:p w14:paraId="06BB7986" w14:textId="77777777" w:rsidR="001C5772" w:rsidRPr="00BE736B" w:rsidRDefault="001C5772" w:rsidP="001C5772">
      <w:pPr>
        <w:spacing w:after="0" w:line="240" w:lineRule="auto"/>
        <w:rPr>
          <w:rFonts w:ascii="Calibri" w:hAnsi="Calibri" w:cs="Calibri"/>
          <w:b/>
          <w:bCs/>
          <w:sz w:val="20"/>
          <w:szCs w:val="20"/>
        </w:rPr>
      </w:pPr>
    </w:p>
    <w:p w14:paraId="6131C9E4" w14:textId="77777777" w:rsidR="001C5772" w:rsidRDefault="001C5772" w:rsidP="001C5772">
      <w:pPr>
        <w:spacing w:after="0" w:line="240" w:lineRule="auto"/>
        <w:rPr>
          <w:rFonts w:ascii="Calibri" w:hAnsi="Calibri" w:cs="Calibri"/>
          <w:b/>
          <w:bCs/>
          <w:sz w:val="20"/>
          <w:szCs w:val="20"/>
        </w:rPr>
      </w:pPr>
    </w:p>
    <w:p w14:paraId="4E1B2338"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t xml:space="preserve">Red Ribbon Bakeshop, Inc. vs. Commissioner of Internal Revenue </w:t>
      </w:r>
    </w:p>
    <w:p w14:paraId="0222EAB2"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CTA Case No. 9121 </w:t>
      </w:r>
    </w:p>
    <w:p w14:paraId="10926FDB"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7 January 2021</w:t>
      </w:r>
    </w:p>
    <w:p w14:paraId="5CD9D916" w14:textId="77777777" w:rsidR="001C5772" w:rsidRPr="00BE736B" w:rsidRDefault="001C5772" w:rsidP="001C5772">
      <w:pPr>
        <w:spacing w:after="0" w:line="240" w:lineRule="auto"/>
        <w:rPr>
          <w:rFonts w:ascii="Calibri" w:hAnsi="Calibri" w:cs="Calibri"/>
          <w:sz w:val="20"/>
          <w:szCs w:val="20"/>
        </w:rPr>
      </w:pPr>
    </w:p>
    <w:p w14:paraId="2C69F823"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The CTA held that the Revenue Officer (RO) conducting the audit investigation must be named in the Letter of Authority (LOA). In case the RO is changed, a new LOA must be issued.  The issuance of a Memorandum of Assignment (MOA) is not an acceptable substitute for a LOA.</w:t>
      </w:r>
    </w:p>
    <w:p w14:paraId="786113B4" w14:textId="77777777" w:rsidR="001C5772" w:rsidRPr="00BE736B" w:rsidRDefault="001C5772" w:rsidP="001C5772">
      <w:pPr>
        <w:spacing w:after="0" w:line="240" w:lineRule="auto"/>
        <w:rPr>
          <w:rFonts w:ascii="Calibri" w:hAnsi="Calibri" w:cs="Calibri"/>
          <w:sz w:val="20"/>
          <w:szCs w:val="20"/>
        </w:rPr>
      </w:pPr>
    </w:p>
    <w:p w14:paraId="3F3DDB0C" w14:textId="77777777" w:rsidR="001C5772" w:rsidRPr="00BE736B" w:rsidRDefault="001C5772" w:rsidP="001C5772">
      <w:pPr>
        <w:spacing w:after="0" w:line="240" w:lineRule="auto"/>
        <w:rPr>
          <w:rFonts w:ascii="Calibri" w:hAnsi="Calibri" w:cs="Calibri"/>
          <w:sz w:val="20"/>
          <w:szCs w:val="20"/>
        </w:rPr>
      </w:pPr>
    </w:p>
    <w:p w14:paraId="43094289" w14:textId="77777777" w:rsidR="001C5772" w:rsidRPr="00BE736B" w:rsidRDefault="001C5772" w:rsidP="001C5772">
      <w:pPr>
        <w:widowControl w:val="0"/>
        <w:spacing w:after="0" w:line="240" w:lineRule="auto"/>
        <w:rPr>
          <w:rFonts w:ascii="Calibri" w:hAnsi="Calibri" w:cs="Calibri"/>
          <w:b/>
          <w:sz w:val="20"/>
          <w:szCs w:val="20"/>
        </w:rPr>
      </w:pPr>
      <w:r w:rsidRPr="00BE736B">
        <w:rPr>
          <w:rFonts w:ascii="Calibri" w:hAnsi="Calibri" w:cs="Calibri"/>
          <w:b/>
          <w:sz w:val="20"/>
          <w:szCs w:val="20"/>
        </w:rPr>
        <w:t xml:space="preserve">Prime Investment Korea Inc. vs. Commissioner of Internal Revenue </w:t>
      </w:r>
    </w:p>
    <w:p w14:paraId="554A602E" w14:textId="77777777" w:rsidR="001C5772" w:rsidRPr="00BE736B" w:rsidRDefault="001C5772" w:rsidP="001C5772">
      <w:pPr>
        <w:widowControl w:val="0"/>
        <w:spacing w:after="0" w:line="240" w:lineRule="auto"/>
        <w:rPr>
          <w:rFonts w:ascii="Calibri" w:hAnsi="Calibri" w:cs="Calibri"/>
          <w:bCs/>
          <w:sz w:val="20"/>
          <w:szCs w:val="20"/>
        </w:rPr>
      </w:pPr>
      <w:r w:rsidRPr="00BE736B">
        <w:rPr>
          <w:rFonts w:ascii="Calibri" w:hAnsi="Calibri" w:cs="Calibri"/>
          <w:bCs/>
          <w:sz w:val="20"/>
          <w:szCs w:val="20"/>
        </w:rPr>
        <w:t xml:space="preserve">CTA </w:t>
      </w:r>
      <w:proofErr w:type="spellStart"/>
      <w:r w:rsidRPr="00BE736B">
        <w:rPr>
          <w:rFonts w:ascii="Calibri" w:hAnsi="Calibri" w:cs="Calibri"/>
          <w:bCs/>
          <w:sz w:val="20"/>
          <w:szCs w:val="20"/>
        </w:rPr>
        <w:t>En</w:t>
      </w:r>
      <w:proofErr w:type="spellEnd"/>
      <w:r w:rsidRPr="00BE736B">
        <w:rPr>
          <w:rFonts w:ascii="Calibri" w:hAnsi="Calibri" w:cs="Calibri"/>
          <w:bCs/>
          <w:sz w:val="20"/>
          <w:szCs w:val="20"/>
        </w:rPr>
        <w:t xml:space="preserve"> Banc No. 2129 </w:t>
      </w:r>
    </w:p>
    <w:p w14:paraId="21589975" w14:textId="77777777" w:rsidR="001C5772" w:rsidRPr="00BE736B" w:rsidRDefault="001C5772" w:rsidP="001C5772">
      <w:pPr>
        <w:widowControl w:val="0"/>
        <w:spacing w:after="0" w:line="240" w:lineRule="auto"/>
        <w:rPr>
          <w:rFonts w:ascii="Calibri" w:hAnsi="Calibri" w:cs="Calibri"/>
          <w:bCs/>
          <w:sz w:val="20"/>
          <w:szCs w:val="20"/>
        </w:rPr>
      </w:pPr>
      <w:r w:rsidRPr="00BE736B">
        <w:rPr>
          <w:rFonts w:ascii="Calibri" w:hAnsi="Calibri" w:cs="Calibri"/>
          <w:bCs/>
          <w:sz w:val="20"/>
          <w:szCs w:val="20"/>
        </w:rPr>
        <w:t>8 January 2021</w:t>
      </w:r>
    </w:p>
    <w:p w14:paraId="5F03E1B0" w14:textId="77777777" w:rsidR="001C5772" w:rsidRPr="00BE736B" w:rsidRDefault="001C5772" w:rsidP="001C5772">
      <w:pPr>
        <w:widowControl w:val="0"/>
        <w:spacing w:after="0" w:line="240" w:lineRule="auto"/>
        <w:rPr>
          <w:rFonts w:ascii="Calibri" w:hAnsi="Calibri" w:cs="Calibri"/>
          <w:bCs/>
          <w:sz w:val="20"/>
          <w:szCs w:val="20"/>
        </w:rPr>
      </w:pPr>
    </w:p>
    <w:p w14:paraId="32F60204" w14:textId="77777777" w:rsidR="001C5772" w:rsidRPr="00BE736B" w:rsidRDefault="001C5772" w:rsidP="001C5772">
      <w:pPr>
        <w:widowControl w:val="0"/>
        <w:spacing w:after="0" w:line="240" w:lineRule="auto"/>
        <w:rPr>
          <w:rFonts w:ascii="Calibri" w:hAnsi="Calibri" w:cs="Calibri"/>
          <w:bCs/>
          <w:sz w:val="20"/>
          <w:szCs w:val="20"/>
        </w:rPr>
      </w:pPr>
      <w:r w:rsidRPr="00BE736B">
        <w:rPr>
          <w:rFonts w:ascii="Calibri" w:hAnsi="Calibri" w:cs="Calibri"/>
          <w:bCs/>
          <w:sz w:val="20"/>
          <w:szCs w:val="20"/>
        </w:rPr>
        <w:t xml:space="preserve">The CTA held that income from junket operations is classified as “other related services” and is subject to corporate income tax. </w:t>
      </w:r>
    </w:p>
    <w:p w14:paraId="22B82E91" w14:textId="77777777" w:rsidR="001C5772" w:rsidRPr="00BE736B" w:rsidRDefault="001C5772" w:rsidP="001C5772">
      <w:pPr>
        <w:spacing w:after="0" w:line="240" w:lineRule="auto"/>
        <w:rPr>
          <w:rFonts w:ascii="Calibri" w:hAnsi="Calibri" w:cs="Calibri"/>
          <w:b/>
          <w:sz w:val="20"/>
          <w:szCs w:val="20"/>
        </w:rPr>
      </w:pPr>
    </w:p>
    <w:p w14:paraId="0EDF45B9" w14:textId="77777777" w:rsidR="001C5772" w:rsidRPr="00BE736B" w:rsidRDefault="001C5772" w:rsidP="001C5772">
      <w:pPr>
        <w:spacing w:after="0" w:line="240" w:lineRule="auto"/>
        <w:rPr>
          <w:rFonts w:ascii="Calibri" w:hAnsi="Calibri" w:cs="Calibri"/>
          <w:b/>
          <w:bCs/>
          <w:sz w:val="20"/>
          <w:szCs w:val="20"/>
        </w:rPr>
      </w:pPr>
    </w:p>
    <w:p w14:paraId="268283E7" w14:textId="77777777" w:rsidR="001C5772" w:rsidRPr="00BE736B" w:rsidRDefault="001C5772" w:rsidP="001C5772">
      <w:pPr>
        <w:spacing w:after="0" w:line="240" w:lineRule="auto"/>
        <w:contextualSpacing/>
        <w:rPr>
          <w:rFonts w:ascii="Calibri" w:hAnsi="Calibri" w:cs="Calibri"/>
          <w:b/>
          <w:bCs/>
          <w:sz w:val="20"/>
          <w:szCs w:val="20"/>
        </w:rPr>
      </w:pPr>
      <w:r w:rsidRPr="00BE736B">
        <w:rPr>
          <w:rFonts w:ascii="Calibri" w:hAnsi="Calibri" w:cs="Calibri"/>
          <w:b/>
          <w:bCs/>
          <w:sz w:val="20"/>
          <w:szCs w:val="20"/>
        </w:rPr>
        <w:t xml:space="preserve">People of the Philippines vs. </w:t>
      </w:r>
      <w:proofErr w:type="spellStart"/>
      <w:r w:rsidRPr="00BE736B">
        <w:rPr>
          <w:rFonts w:ascii="Calibri" w:hAnsi="Calibri" w:cs="Calibri"/>
          <w:b/>
          <w:bCs/>
          <w:sz w:val="20"/>
          <w:szCs w:val="20"/>
        </w:rPr>
        <w:t>Robiegie</w:t>
      </w:r>
      <w:proofErr w:type="spellEnd"/>
      <w:r w:rsidRPr="00BE736B">
        <w:rPr>
          <w:rFonts w:ascii="Calibri" w:hAnsi="Calibri" w:cs="Calibri"/>
          <w:b/>
          <w:bCs/>
          <w:sz w:val="20"/>
          <w:szCs w:val="20"/>
        </w:rPr>
        <w:t xml:space="preserve"> Corporation</w:t>
      </w:r>
    </w:p>
    <w:p w14:paraId="780B0982" w14:textId="77777777" w:rsidR="001C5772" w:rsidRPr="00BE736B" w:rsidRDefault="001C5772" w:rsidP="001C5772">
      <w:pPr>
        <w:spacing w:after="0" w:line="240" w:lineRule="auto"/>
        <w:contextualSpacing/>
        <w:rPr>
          <w:rFonts w:ascii="Calibri" w:hAnsi="Calibri" w:cs="Calibri"/>
          <w:sz w:val="20"/>
          <w:szCs w:val="20"/>
        </w:rPr>
      </w:pPr>
      <w:r w:rsidRPr="00BE736B">
        <w:rPr>
          <w:rFonts w:ascii="Calibri" w:hAnsi="Calibri" w:cs="Calibri"/>
          <w:sz w:val="20"/>
          <w:szCs w:val="20"/>
        </w:rPr>
        <w:t xml:space="preserve">CTA </w:t>
      </w:r>
      <w:proofErr w:type="spellStart"/>
      <w:r w:rsidRPr="00BE736B">
        <w:rPr>
          <w:rFonts w:ascii="Calibri" w:hAnsi="Calibri" w:cs="Calibri"/>
          <w:sz w:val="20"/>
          <w:szCs w:val="20"/>
        </w:rPr>
        <w:t>En</w:t>
      </w:r>
      <w:proofErr w:type="spellEnd"/>
      <w:r w:rsidRPr="00BE736B">
        <w:rPr>
          <w:rFonts w:ascii="Calibri" w:hAnsi="Calibri" w:cs="Calibri"/>
          <w:sz w:val="20"/>
          <w:szCs w:val="20"/>
        </w:rPr>
        <w:t xml:space="preserve"> Banc Case No. 2188 </w:t>
      </w:r>
    </w:p>
    <w:p w14:paraId="5A78C333" w14:textId="77777777" w:rsidR="001C5772" w:rsidRPr="00BE736B" w:rsidRDefault="001C5772" w:rsidP="001C5772">
      <w:pPr>
        <w:spacing w:after="0" w:line="240" w:lineRule="auto"/>
        <w:contextualSpacing/>
        <w:rPr>
          <w:rFonts w:ascii="Calibri" w:hAnsi="Calibri" w:cs="Calibri"/>
          <w:sz w:val="20"/>
          <w:szCs w:val="20"/>
        </w:rPr>
      </w:pPr>
      <w:r w:rsidRPr="00BE736B">
        <w:rPr>
          <w:rFonts w:ascii="Calibri" w:hAnsi="Calibri" w:cs="Calibri"/>
          <w:sz w:val="20"/>
          <w:szCs w:val="20"/>
        </w:rPr>
        <w:t xml:space="preserve">January 8, 2021 </w:t>
      </w:r>
    </w:p>
    <w:p w14:paraId="65E568D9" w14:textId="77777777" w:rsidR="001C5772" w:rsidRPr="00BE736B" w:rsidRDefault="001C5772" w:rsidP="001C5772">
      <w:pPr>
        <w:spacing w:after="0" w:line="240" w:lineRule="auto"/>
        <w:contextualSpacing/>
        <w:rPr>
          <w:rFonts w:ascii="Calibri" w:hAnsi="Calibri" w:cs="Calibri"/>
          <w:sz w:val="20"/>
          <w:szCs w:val="20"/>
        </w:rPr>
      </w:pPr>
    </w:p>
    <w:p w14:paraId="2CF42732" w14:textId="77777777" w:rsidR="001C5772" w:rsidRPr="00BE736B" w:rsidRDefault="001C5772" w:rsidP="001C5772">
      <w:pPr>
        <w:spacing w:after="0" w:line="240" w:lineRule="auto"/>
        <w:contextualSpacing/>
        <w:rPr>
          <w:rFonts w:ascii="Calibri" w:hAnsi="Calibri" w:cs="Calibri"/>
          <w:sz w:val="20"/>
          <w:szCs w:val="20"/>
        </w:rPr>
      </w:pPr>
      <w:r w:rsidRPr="00BE736B">
        <w:rPr>
          <w:rFonts w:ascii="Calibri" w:hAnsi="Calibri" w:cs="Calibri"/>
          <w:sz w:val="20"/>
          <w:szCs w:val="20"/>
        </w:rPr>
        <w:t>The CTA held that all audit investigations must be conducted by a designated Revenue Officer (RO), duly authorized to perform audit and examination of taxpayer's books and accounting records, pursuant to a Letter of Authority (LOA). In case of re-assignment or transfer of cases to another RO, it is mandatory that a new LOA shall be issued in favor of the latter.</w:t>
      </w:r>
    </w:p>
    <w:p w14:paraId="2D908541" w14:textId="77777777" w:rsidR="001C5772" w:rsidRPr="00BE736B" w:rsidRDefault="001C5772" w:rsidP="001C5772">
      <w:pPr>
        <w:spacing w:after="0" w:line="240" w:lineRule="auto"/>
        <w:rPr>
          <w:rFonts w:ascii="Calibri" w:eastAsia="Times New Roman" w:hAnsi="Calibri" w:cs="Calibri"/>
          <w:b/>
          <w:bCs/>
          <w:color w:val="000000"/>
          <w:sz w:val="20"/>
          <w:szCs w:val="20"/>
        </w:rPr>
      </w:pPr>
    </w:p>
    <w:p w14:paraId="1C54CB28" w14:textId="77777777" w:rsidR="001C5772" w:rsidRPr="00BE736B" w:rsidRDefault="001C5772" w:rsidP="001C5772">
      <w:pPr>
        <w:spacing w:after="0" w:line="240" w:lineRule="auto"/>
        <w:rPr>
          <w:rFonts w:ascii="Calibri" w:eastAsia="Times New Roman" w:hAnsi="Calibri" w:cs="Calibri"/>
          <w:color w:val="000000"/>
          <w:sz w:val="20"/>
          <w:szCs w:val="20"/>
        </w:rPr>
      </w:pPr>
    </w:p>
    <w:p w14:paraId="7C028E60" w14:textId="77777777" w:rsidR="001C5772" w:rsidRPr="00BE736B" w:rsidRDefault="001C5772" w:rsidP="001C5772">
      <w:pPr>
        <w:spacing w:after="0" w:line="240" w:lineRule="auto"/>
        <w:contextualSpacing/>
        <w:rPr>
          <w:rFonts w:ascii="Calibri" w:hAnsi="Calibri" w:cs="Calibri"/>
          <w:b/>
          <w:bCs/>
          <w:sz w:val="20"/>
          <w:szCs w:val="20"/>
        </w:rPr>
      </w:pPr>
      <w:proofErr w:type="spellStart"/>
      <w:r w:rsidRPr="00BE736B">
        <w:rPr>
          <w:rFonts w:ascii="Calibri" w:hAnsi="Calibri" w:cs="Calibri"/>
          <w:b/>
          <w:bCs/>
          <w:sz w:val="20"/>
          <w:szCs w:val="20"/>
        </w:rPr>
        <w:t>Ammex</w:t>
      </w:r>
      <w:proofErr w:type="spellEnd"/>
      <w:r w:rsidRPr="00BE736B">
        <w:rPr>
          <w:rFonts w:ascii="Calibri" w:hAnsi="Calibri" w:cs="Calibri"/>
          <w:b/>
          <w:bCs/>
          <w:sz w:val="20"/>
          <w:szCs w:val="20"/>
        </w:rPr>
        <w:t xml:space="preserve"> I-Support Corporation vs. Commissioner of Internal Revenue</w:t>
      </w:r>
    </w:p>
    <w:p w14:paraId="091CF8B5" w14:textId="77777777" w:rsidR="001C5772" w:rsidRPr="00BE736B" w:rsidRDefault="001C5772" w:rsidP="001C5772">
      <w:pPr>
        <w:spacing w:after="0" w:line="240" w:lineRule="auto"/>
        <w:contextualSpacing/>
        <w:rPr>
          <w:rFonts w:ascii="Calibri" w:hAnsi="Calibri" w:cs="Calibri"/>
          <w:sz w:val="20"/>
          <w:szCs w:val="20"/>
        </w:rPr>
      </w:pPr>
      <w:r w:rsidRPr="00BE736B">
        <w:rPr>
          <w:rFonts w:ascii="Calibri" w:hAnsi="Calibri" w:cs="Calibri"/>
          <w:sz w:val="20"/>
          <w:szCs w:val="20"/>
        </w:rPr>
        <w:t>CTA Case No. 9906</w:t>
      </w:r>
    </w:p>
    <w:p w14:paraId="377DE6BC" w14:textId="77777777" w:rsidR="001C5772" w:rsidRPr="00BE736B" w:rsidRDefault="001C5772" w:rsidP="001C5772">
      <w:pPr>
        <w:spacing w:after="0" w:line="240" w:lineRule="auto"/>
        <w:contextualSpacing/>
        <w:rPr>
          <w:rFonts w:ascii="Calibri" w:hAnsi="Calibri" w:cs="Calibri"/>
          <w:sz w:val="20"/>
          <w:szCs w:val="20"/>
        </w:rPr>
      </w:pPr>
      <w:r w:rsidRPr="00BE736B">
        <w:rPr>
          <w:rFonts w:ascii="Calibri" w:hAnsi="Calibri" w:cs="Calibri"/>
          <w:sz w:val="20"/>
          <w:szCs w:val="20"/>
        </w:rPr>
        <w:t>January 8, 2021</w:t>
      </w:r>
    </w:p>
    <w:p w14:paraId="74098FDD" w14:textId="77777777" w:rsidR="001C5772" w:rsidRPr="00BE736B" w:rsidRDefault="001C5772" w:rsidP="001C5772">
      <w:pPr>
        <w:spacing w:after="0" w:line="240" w:lineRule="auto"/>
        <w:contextualSpacing/>
        <w:rPr>
          <w:rFonts w:ascii="Calibri" w:hAnsi="Calibri" w:cs="Calibri"/>
          <w:sz w:val="20"/>
          <w:szCs w:val="20"/>
        </w:rPr>
      </w:pPr>
    </w:p>
    <w:p w14:paraId="2DE0FBC2" w14:textId="77777777" w:rsidR="001C5772" w:rsidRPr="00BE736B" w:rsidRDefault="001C5772" w:rsidP="001C5772">
      <w:pPr>
        <w:spacing w:after="0" w:line="240" w:lineRule="auto"/>
        <w:contextualSpacing/>
        <w:rPr>
          <w:rFonts w:ascii="Calibri" w:hAnsi="Calibri" w:cs="Calibri"/>
          <w:sz w:val="20"/>
          <w:szCs w:val="20"/>
        </w:rPr>
      </w:pPr>
      <w:r w:rsidRPr="00BE736B">
        <w:rPr>
          <w:rFonts w:ascii="Calibri" w:hAnsi="Calibri" w:cs="Calibri"/>
          <w:sz w:val="20"/>
          <w:szCs w:val="20"/>
        </w:rPr>
        <w:t>The CTA held that certain essential elements must be present for a sale or supply of services to be subject to the VAT zero-rate, namely, (a) the services rendered should be other than processing, manufacturing, or repacking of goods; (b) the recipient of the services is a foreign corporation and the said corporation is doing business outside the Philippines or is a nonresident person not engaged in business who is outside the Philippines when the services were performed; (c) the service must be performed in the Philippines by a VAT-registered person; and (d) the payment for such services should be in acceptable foreign currency accounted for in accordance with the BSP rules.</w:t>
      </w:r>
    </w:p>
    <w:p w14:paraId="2B271FAA" w14:textId="77777777" w:rsidR="001C5772" w:rsidRPr="00BE736B" w:rsidRDefault="001C5772" w:rsidP="001C5772">
      <w:pPr>
        <w:spacing w:after="0" w:line="240" w:lineRule="auto"/>
        <w:rPr>
          <w:rFonts w:ascii="Calibri" w:eastAsia="Times New Roman" w:hAnsi="Calibri" w:cs="Calibri"/>
          <w:b/>
          <w:bCs/>
          <w:color w:val="000000"/>
          <w:sz w:val="20"/>
          <w:szCs w:val="20"/>
        </w:rPr>
      </w:pPr>
    </w:p>
    <w:p w14:paraId="16F67C99" w14:textId="77777777" w:rsidR="001C5772" w:rsidRPr="00BE736B" w:rsidRDefault="001C5772" w:rsidP="001C5772">
      <w:pPr>
        <w:spacing w:after="0" w:line="240" w:lineRule="auto"/>
        <w:rPr>
          <w:rFonts w:ascii="Calibri" w:hAnsi="Calibri" w:cs="Calibri"/>
          <w:sz w:val="20"/>
          <w:szCs w:val="20"/>
        </w:rPr>
      </w:pPr>
    </w:p>
    <w:p w14:paraId="0916CA22"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color w:val="000000"/>
          <w:sz w:val="20"/>
          <w:szCs w:val="20"/>
        </w:rPr>
        <w:t>Halliburton Worldwide Limited – Philippine Branch vs. Commissioner of Internal Revenue</w:t>
      </w:r>
    </w:p>
    <w:p w14:paraId="4A5537F1"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CTA Case No. 9670 </w:t>
      </w:r>
    </w:p>
    <w:p w14:paraId="424FFE3B"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11 January 2021</w:t>
      </w:r>
    </w:p>
    <w:p w14:paraId="11D8E392" w14:textId="77777777" w:rsidR="001C5772" w:rsidRPr="00BE736B" w:rsidRDefault="001C5772" w:rsidP="001C5772">
      <w:pPr>
        <w:spacing w:after="0" w:line="240" w:lineRule="auto"/>
        <w:rPr>
          <w:rFonts w:ascii="Calibri" w:hAnsi="Calibri" w:cs="Calibri"/>
          <w:sz w:val="20"/>
          <w:szCs w:val="20"/>
        </w:rPr>
      </w:pPr>
    </w:p>
    <w:p w14:paraId="489F0C1D"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The CTA held that for a sale transaction to a Renewable Energy (RE) Developer to qualify for VAT zero-rating under Republic Act (RA) No. 9513 and its Implementing Rules and Regulations (IRR), the taxpayer must be able to present three (3) documents – the Department of Energy (DOE) Certificate of Registration, the Registration with the Board of Investments (BOI), and the DOE Certificate of Endorsement.</w:t>
      </w:r>
    </w:p>
    <w:p w14:paraId="18A09798" w14:textId="77777777" w:rsidR="001C5772" w:rsidRDefault="001C5772" w:rsidP="001C5772">
      <w:pPr>
        <w:spacing w:after="0" w:line="240" w:lineRule="auto"/>
        <w:rPr>
          <w:rFonts w:ascii="Calibri" w:hAnsi="Calibri" w:cs="Calibri"/>
          <w:b/>
          <w:bCs/>
          <w:color w:val="000000"/>
          <w:sz w:val="20"/>
          <w:szCs w:val="20"/>
        </w:rPr>
      </w:pPr>
    </w:p>
    <w:p w14:paraId="63E45AA3" w14:textId="77777777" w:rsidR="001C5772" w:rsidRDefault="001C5772" w:rsidP="001C5772">
      <w:pPr>
        <w:spacing w:after="0" w:line="240" w:lineRule="auto"/>
        <w:rPr>
          <w:rFonts w:ascii="Calibri" w:hAnsi="Calibri" w:cs="Calibri"/>
          <w:b/>
          <w:bCs/>
          <w:color w:val="000000"/>
          <w:sz w:val="20"/>
          <w:szCs w:val="20"/>
        </w:rPr>
      </w:pPr>
    </w:p>
    <w:p w14:paraId="4A7616CD"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color w:val="000000"/>
          <w:sz w:val="20"/>
          <w:szCs w:val="20"/>
        </w:rPr>
        <w:t>Four Seas Trading Corporation vs. Commissioner of Internal Revenue</w:t>
      </w:r>
    </w:p>
    <w:p w14:paraId="2F558C6B"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CTA Case No. 9915 </w:t>
      </w:r>
    </w:p>
    <w:p w14:paraId="7FF8A575"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11 January 2021</w:t>
      </w:r>
    </w:p>
    <w:p w14:paraId="00F06960" w14:textId="77777777" w:rsidR="001C5772" w:rsidRPr="00BE736B" w:rsidRDefault="001C5772" w:rsidP="001C5772">
      <w:pPr>
        <w:spacing w:after="0" w:line="240" w:lineRule="auto"/>
        <w:rPr>
          <w:rFonts w:ascii="Calibri" w:hAnsi="Calibri" w:cs="Calibri"/>
          <w:sz w:val="20"/>
          <w:szCs w:val="20"/>
        </w:rPr>
      </w:pPr>
    </w:p>
    <w:p w14:paraId="220742B2"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 xml:space="preserve">The CTA held that tax assessments issued in violation of the due process rights of a taxpayer are null and void. </w:t>
      </w:r>
    </w:p>
    <w:p w14:paraId="0B9670B3" w14:textId="77777777" w:rsidR="001C5772" w:rsidRPr="00BE736B" w:rsidRDefault="001C5772" w:rsidP="001C5772">
      <w:pPr>
        <w:spacing w:after="0" w:line="240" w:lineRule="auto"/>
        <w:rPr>
          <w:rFonts w:ascii="Calibri" w:hAnsi="Calibri" w:cs="Calibri"/>
          <w:b/>
          <w:bCs/>
          <w:sz w:val="20"/>
          <w:szCs w:val="20"/>
        </w:rPr>
      </w:pPr>
    </w:p>
    <w:p w14:paraId="256E2D54" w14:textId="77777777" w:rsidR="001C5772" w:rsidRDefault="001C5772" w:rsidP="001C5772">
      <w:pPr>
        <w:spacing w:after="0" w:line="240" w:lineRule="auto"/>
        <w:rPr>
          <w:rFonts w:ascii="Calibri" w:eastAsia="Times New Roman" w:hAnsi="Calibri" w:cs="Calibri"/>
          <w:b/>
          <w:bCs/>
          <w:color w:val="000000"/>
          <w:sz w:val="20"/>
          <w:szCs w:val="20"/>
        </w:rPr>
      </w:pPr>
    </w:p>
    <w:p w14:paraId="0ECDA462" w14:textId="77777777" w:rsidR="001C5772" w:rsidRPr="00BE736B" w:rsidRDefault="001C5772" w:rsidP="001C5772">
      <w:pPr>
        <w:spacing w:after="0" w:line="240" w:lineRule="auto"/>
        <w:rPr>
          <w:rFonts w:ascii="Calibri" w:eastAsia="Times New Roman" w:hAnsi="Calibri" w:cs="Calibri"/>
          <w:b/>
          <w:bCs/>
          <w:color w:val="000000"/>
          <w:sz w:val="20"/>
          <w:szCs w:val="20"/>
        </w:rPr>
      </w:pPr>
      <w:r w:rsidRPr="00BE736B">
        <w:rPr>
          <w:rFonts w:ascii="Calibri" w:eastAsia="Times New Roman" w:hAnsi="Calibri" w:cs="Calibri"/>
          <w:b/>
          <w:bCs/>
          <w:color w:val="000000"/>
          <w:sz w:val="20"/>
          <w:szCs w:val="20"/>
        </w:rPr>
        <w:t xml:space="preserve">Negros Sugar Farmers Multi-Purpose Cooperative vs. Commissioner of Internal Revenue </w:t>
      </w:r>
    </w:p>
    <w:p w14:paraId="0227E98F"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eastAsia="Times New Roman" w:hAnsi="Calibri" w:cs="Calibri"/>
          <w:color w:val="000000"/>
          <w:sz w:val="20"/>
          <w:szCs w:val="20"/>
        </w:rPr>
        <w:t xml:space="preserve">CTA Case No. 9810 </w:t>
      </w:r>
    </w:p>
    <w:p w14:paraId="5037B348"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eastAsia="Times New Roman" w:hAnsi="Calibri" w:cs="Calibri"/>
          <w:color w:val="000000"/>
          <w:sz w:val="20"/>
          <w:szCs w:val="20"/>
        </w:rPr>
        <w:t>11 January 2021</w:t>
      </w:r>
    </w:p>
    <w:p w14:paraId="03E5A652" w14:textId="77777777" w:rsidR="001C5772" w:rsidRPr="00BE736B" w:rsidRDefault="001C5772" w:rsidP="001C5772">
      <w:pPr>
        <w:spacing w:after="0" w:line="240" w:lineRule="auto"/>
        <w:rPr>
          <w:rFonts w:ascii="Calibri" w:eastAsia="Times New Roman" w:hAnsi="Calibri" w:cs="Calibri"/>
          <w:color w:val="000000"/>
          <w:sz w:val="20"/>
          <w:szCs w:val="20"/>
        </w:rPr>
      </w:pPr>
    </w:p>
    <w:p w14:paraId="1C2A395C"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eastAsia="Times New Roman" w:hAnsi="Calibri" w:cs="Calibri"/>
          <w:color w:val="000000"/>
          <w:sz w:val="20"/>
          <w:szCs w:val="20"/>
        </w:rPr>
        <w:t xml:space="preserve">The CTA held that a Motion for Reconsideration (MR), couched as “Petition to Set Aside/Recall Final Decision”, of the decision of the Commissioner of Internal Revenue’s (CIR) authorized representative, filed before the latter, will not toll the running of the 30-day period to appeal such representative’s decision to the Court of Tax Appeals (CTA) or the CIR himself. </w:t>
      </w:r>
    </w:p>
    <w:p w14:paraId="1AE74049" w14:textId="77777777" w:rsidR="001C5772" w:rsidRPr="00BE736B" w:rsidRDefault="001C5772" w:rsidP="001C5772">
      <w:pPr>
        <w:spacing w:after="0" w:line="240" w:lineRule="auto"/>
        <w:rPr>
          <w:rFonts w:ascii="Calibri" w:hAnsi="Calibri" w:cs="Calibri"/>
          <w:sz w:val="20"/>
          <w:szCs w:val="20"/>
        </w:rPr>
      </w:pPr>
    </w:p>
    <w:p w14:paraId="3499FD66" w14:textId="77777777" w:rsidR="001C5772" w:rsidRPr="00BE736B" w:rsidRDefault="001C5772" w:rsidP="001C5772">
      <w:pPr>
        <w:spacing w:after="0" w:line="240" w:lineRule="auto"/>
        <w:rPr>
          <w:rFonts w:ascii="Calibri" w:hAnsi="Calibri" w:cs="Calibri"/>
          <w:b/>
          <w:bCs/>
          <w:sz w:val="20"/>
          <w:szCs w:val="20"/>
        </w:rPr>
      </w:pPr>
    </w:p>
    <w:p w14:paraId="129AF378" w14:textId="77777777" w:rsidR="001C5772" w:rsidRPr="00BE736B" w:rsidRDefault="001C5772" w:rsidP="001C5772">
      <w:pPr>
        <w:spacing w:after="0" w:line="240" w:lineRule="auto"/>
        <w:rPr>
          <w:rFonts w:ascii="Calibri" w:eastAsia="Times New Roman" w:hAnsi="Calibri" w:cs="Calibri"/>
          <w:b/>
          <w:bCs/>
          <w:color w:val="000000"/>
          <w:sz w:val="20"/>
          <w:szCs w:val="20"/>
        </w:rPr>
      </w:pPr>
      <w:r w:rsidRPr="00BE736B">
        <w:rPr>
          <w:rFonts w:ascii="Calibri" w:eastAsia="Times New Roman" w:hAnsi="Calibri" w:cs="Calibri"/>
          <w:b/>
          <w:bCs/>
          <w:color w:val="000000"/>
          <w:sz w:val="20"/>
          <w:szCs w:val="20"/>
        </w:rPr>
        <w:t xml:space="preserve">SMCC Philippines, Inc. vs. Commissioner of Internal Revenue </w:t>
      </w:r>
    </w:p>
    <w:p w14:paraId="5D7B0C06"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eastAsia="Times New Roman" w:hAnsi="Calibri" w:cs="Calibri"/>
          <w:color w:val="000000"/>
          <w:sz w:val="20"/>
          <w:szCs w:val="20"/>
        </w:rPr>
        <w:t>CTA Case No. 9082</w:t>
      </w:r>
    </w:p>
    <w:p w14:paraId="54891C51"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eastAsia="Times New Roman" w:hAnsi="Calibri" w:cs="Calibri"/>
          <w:color w:val="000000"/>
          <w:sz w:val="20"/>
          <w:szCs w:val="20"/>
        </w:rPr>
        <w:t>12 January 2021</w:t>
      </w:r>
    </w:p>
    <w:p w14:paraId="2B103CF9" w14:textId="77777777" w:rsidR="001C5772" w:rsidRPr="00BE736B" w:rsidRDefault="001C5772" w:rsidP="001C5772">
      <w:pPr>
        <w:spacing w:after="0" w:line="240" w:lineRule="auto"/>
        <w:rPr>
          <w:rFonts w:ascii="Calibri" w:eastAsia="Times New Roman" w:hAnsi="Calibri" w:cs="Calibri"/>
          <w:color w:val="000000"/>
          <w:sz w:val="20"/>
          <w:szCs w:val="20"/>
        </w:rPr>
      </w:pPr>
    </w:p>
    <w:p w14:paraId="28FFE55D" w14:textId="77777777" w:rsidR="001C5772" w:rsidRPr="00BE736B" w:rsidRDefault="001C5772" w:rsidP="001C5772">
      <w:pPr>
        <w:spacing w:after="0" w:line="240" w:lineRule="auto"/>
        <w:rPr>
          <w:rFonts w:ascii="Calibri" w:eastAsia="Times New Roman" w:hAnsi="Calibri" w:cs="Calibri"/>
          <w:color w:val="000000"/>
          <w:sz w:val="20"/>
          <w:szCs w:val="20"/>
        </w:rPr>
      </w:pPr>
      <w:r w:rsidRPr="00BE736B">
        <w:rPr>
          <w:rFonts w:ascii="Calibri" w:eastAsia="Times New Roman" w:hAnsi="Calibri" w:cs="Calibri"/>
          <w:color w:val="000000"/>
          <w:sz w:val="20"/>
          <w:szCs w:val="20"/>
        </w:rPr>
        <w:t xml:space="preserve">The CTA held that 120+30-day periods to appeal the decision or inaction of the Bureau of Internal Revenue (BIR) in a VAT refund application filed before the effectivity of the Tax Reform for Acceleration and Inclusion (TRAIN) Act </w:t>
      </w:r>
      <w:r w:rsidRPr="00BE736B">
        <w:rPr>
          <w:rFonts w:ascii="Calibri" w:eastAsia="Times New Roman" w:hAnsi="Calibri" w:cs="Calibri"/>
          <w:color w:val="000000"/>
          <w:sz w:val="20"/>
          <w:szCs w:val="20"/>
        </w:rPr>
        <w:lastRenderedPageBreak/>
        <w:t>are both mandatory and jurisdictional. Failure to comply with such periods is a ground for the denial of the VAT refund application.</w:t>
      </w:r>
    </w:p>
    <w:p w14:paraId="7C0EF081" w14:textId="77777777" w:rsidR="001C5772" w:rsidRPr="00BE736B" w:rsidRDefault="001C5772" w:rsidP="001C5772">
      <w:pPr>
        <w:widowControl w:val="0"/>
        <w:spacing w:after="0" w:line="240" w:lineRule="auto"/>
        <w:rPr>
          <w:rFonts w:ascii="Calibri" w:hAnsi="Calibri" w:cs="Calibri"/>
          <w:bCs/>
          <w:sz w:val="20"/>
          <w:szCs w:val="20"/>
        </w:rPr>
      </w:pPr>
    </w:p>
    <w:p w14:paraId="642D8F41" w14:textId="77777777" w:rsidR="001C5772" w:rsidRPr="00BE736B" w:rsidRDefault="001C5772" w:rsidP="001C5772">
      <w:pPr>
        <w:widowControl w:val="0"/>
        <w:spacing w:after="0" w:line="240" w:lineRule="auto"/>
        <w:rPr>
          <w:rFonts w:ascii="Calibri" w:hAnsi="Calibri" w:cs="Calibri"/>
          <w:bCs/>
          <w:sz w:val="32"/>
          <w:szCs w:val="32"/>
        </w:rPr>
      </w:pPr>
      <w:r w:rsidRPr="00BC3DD6">
        <w:rPr>
          <w:rFonts w:ascii="Calibri" w:hAnsi="Calibri" w:cs="Calibri"/>
          <w:bCs/>
          <w:sz w:val="32"/>
          <w:szCs w:val="32"/>
        </w:rPr>
        <w:t xml:space="preserve">Bureau </w:t>
      </w:r>
      <w:r>
        <w:rPr>
          <w:rFonts w:ascii="Calibri" w:hAnsi="Calibri" w:cs="Calibri"/>
          <w:bCs/>
          <w:sz w:val="32"/>
          <w:szCs w:val="32"/>
        </w:rPr>
        <w:t>o</w:t>
      </w:r>
      <w:r w:rsidRPr="00BC3DD6">
        <w:rPr>
          <w:rFonts w:ascii="Calibri" w:hAnsi="Calibri" w:cs="Calibri"/>
          <w:bCs/>
          <w:sz w:val="32"/>
          <w:szCs w:val="32"/>
        </w:rPr>
        <w:t>f Customs</w:t>
      </w:r>
      <w:r>
        <w:rPr>
          <w:rFonts w:ascii="Calibri" w:hAnsi="Calibri" w:cs="Calibri"/>
          <w:bCs/>
          <w:sz w:val="32"/>
          <w:szCs w:val="32"/>
        </w:rPr>
        <w:t xml:space="preserve"> Issuances</w:t>
      </w:r>
    </w:p>
    <w:p w14:paraId="42DD9D56" w14:textId="77777777" w:rsidR="001C5772" w:rsidRPr="00BE736B" w:rsidRDefault="001C5772" w:rsidP="001C5772">
      <w:pPr>
        <w:widowControl w:val="0"/>
        <w:spacing w:after="0" w:line="240" w:lineRule="auto"/>
        <w:rPr>
          <w:rFonts w:ascii="Calibri" w:hAnsi="Calibri" w:cs="Calibri"/>
          <w:bCs/>
          <w:sz w:val="20"/>
          <w:szCs w:val="20"/>
        </w:rPr>
      </w:pPr>
    </w:p>
    <w:p w14:paraId="4AE9B539" w14:textId="77777777" w:rsidR="001C5772" w:rsidRPr="00BE736B" w:rsidRDefault="001C5772" w:rsidP="001C5772">
      <w:pPr>
        <w:spacing w:after="0" w:line="240" w:lineRule="auto"/>
        <w:jc w:val="both"/>
        <w:rPr>
          <w:rFonts w:ascii="Calibri" w:hAnsi="Calibri" w:cs="Calibri"/>
          <w:b/>
          <w:bCs/>
          <w:sz w:val="20"/>
          <w:szCs w:val="20"/>
        </w:rPr>
      </w:pPr>
      <w:r w:rsidRPr="00BE736B">
        <w:rPr>
          <w:rFonts w:ascii="Calibri" w:hAnsi="Calibri" w:cs="Calibri"/>
          <w:b/>
          <w:bCs/>
          <w:sz w:val="20"/>
          <w:szCs w:val="20"/>
        </w:rPr>
        <w:t>Customs Administrative Order (CAO) No. 14-2020</w:t>
      </w:r>
    </w:p>
    <w:p w14:paraId="02DA2267" w14:textId="77777777" w:rsidR="001C5772" w:rsidRPr="00BE736B" w:rsidRDefault="001C5772" w:rsidP="001C5772">
      <w:pPr>
        <w:spacing w:after="0" w:line="240" w:lineRule="auto"/>
        <w:jc w:val="both"/>
        <w:rPr>
          <w:rFonts w:ascii="Calibri" w:hAnsi="Calibri" w:cs="Calibri"/>
          <w:i/>
          <w:iCs/>
          <w:sz w:val="20"/>
          <w:szCs w:val="20"/>
        </w:rPr>
      </w:pPr>
    </w:p>
    <w:p w14:paraId="056682F8" w14:textId="77777777" w:rsidR="001C5772" w:rsidRPr="00BE736B" w:rsidRDefault="001C5772" w:rsidP="001C5772">
      <w:pPr>
        <w:spacing w:after="0" w:line="240" w:lineRule="auto"/>
        <w:jc w:val="both"/>
        <w:rPr>
          <w:rFonts w:ascii="Calibri" w:hAnsi="Calibri" w:cs="Calibri"/>
          <w:i/>
          <w:iCs/>
          <w:sz w:val="20"/>
          <w:szCs w:val="20"/>
        </w:rPr>
      </w:pPr>
      <w:r w:rsidRPr="00BE736B">
        <w:rPr>
          <w:rFonts w:ascii="Calibri" w:hAnsi="Calibri" w:cs="Calibri"/>
          <w:i/>
          <w:iCs/>
          <w:sz w:val="20"/>
          <w:szCs w:val="20"/>
        </w:rPr>
        <w:t>CAO No. 14-2020 establishes the administrative and operational guidelines for the accreditation and supervision of VASP pursuant to Section 109, Chapter 2, Title I, Sections 1200, Chapter 1 Title XII, Section 1513, Title XV and other relevant provisions of the Customs Modernization and Tariff Act (CMTA).</w:t>
      </w:r>
    </w:p>
    <w:p w14:paraId="48BB0464" w14:textId="77777777" w:rsidR="001C5772" w:rsidRPr="00BE736B" w:rsidRDefault="001C5772" w:rsidP="001C5772">
      <w:pPr>
        <w:spacing w:after="0" w:line="240" w:lineRule="auto"/>
        <w:jc w:val="both"/>
        <w:rPr>
          <w:rFonts w:ascii="Calibri" w:hAnsi="Calibri" w:cs="Calibri"/>
          <w:i/>
          <w:iCs/>
          <w:sz w:val="20"/>
          <w:szCs w:val="20"/>
        </w:rPr>
      </w:pPr>
    </w:p>
    <w:p w14:paraId="49A445D0" w14:textId="77777777" w:rsidR="001C5772" w:rsidRPr="00BE736B" w:rsidRDefault="001C5772" w:rsidP="001C5772">
      <w:pPr>
        <w:pStyle w:val="ListParagraph"/>
        <w:numPr>
          <w:ilvl w:val="0"/>
          <w:numId w:val="12"/>
        </w:numPr>
        <w:spacing w:after="0" w:line="240" w:lineRule="auto"/>
        <w:jc w:val="both"/>
        <w:rPr>
          <w:rFonts w:ascii="Calibri" w:hAnsi="Calibri" w:cs="Calibri"/>
          <w:sz w:val="20"/>
          <w:szCs w:val="20"/>
        </w:rPr>
      </w:pPr>
      <w:r w:rsidRPr="00BE736B">
        <w:rPr>
          <w:rFonts w:ascii="Calibri" w:hAnsi="Calibri" w:cs="Calibri"/>
          <w:sz w:val="20"/>
          <w:szCs w:val="20"/>
        </w:rPr>
        <w:t>The CAO covers the accreditation and supervision of the VASP.</w:t>
      </w:r>
    </w:p>
    <w:p w14:paraId="3E1710C8" w14:textId="77777777" w:rsidR="001C5772" w:rsidRPr="00BE736B" w:rsidRDefault="001C5772" w:rsidP="001C5772">
      <w:pPr>
        <w:pStyle w:val="ListParagraph"/>
        <w:spacing w:after="0" w:line="240" w:lineRule="auto"/>
        <w:jc w:val="both"/>
        <w:rPr>
          <w:rFonts w:ascii="Calibri" w:hAnsi="Calibri" w:cs="Calibri"/>
          <w:sz w:val="20"/>
          <w:szCs w:val="20"/>
        </w:rPr>
      </w:pPr>
    </w:p>
    <w:p w14:paraId="15EBA8CB" w14:textId="77777777" w:rsidR="001C5772" w:rsidRPr="00BE736B" w:rsidRDefault="001C5772" w:rsidP="001C5772">
      <w:pPr>
        <w:pStyle w:val="ListParagraph"/>
        <w:numPr>
          <w:ilvl w:val="0"/>
          <w:numId w:val="12"/>
        </w:numPr>
        <w:spacing w:after="0" w:line="240" w:lineRule="auto"/>
        <w:jc w:val="both"/>
        <w:rPr>
          <w:rFonts w:ascii="Calibri" w:hAnsi="Calibri" w:cs="Calibri"/>
          <w:sz w:val="20"/>
          <w:szCs w:val="20"/>
        </w:rPr>
      </w:pPr>
      <w:r w:rsidRPr="00BE736B">
        <w:rPr>
          <w:rFonts w:ascii="Calibri" w:hAnsi="Calibri" w:cs="Calibri"/>
          <w:sz w:val="20"/>
          <w:szCs w:val="20"/>
        </w:rPr>
        <w:t>VASP shall refer to any BOC-accredited Information and Communications Technology (ICT) company who may provide the services enumerated under this CAO and collect transaction fees as authorized by the BOC.</w:t>
      </w:r>
    </w:p>
    <w:p w14:paraId="0CB728F3" w14:textId="77777777" w:rsidR="001C5772" w:rsidRPr="00BE736B" w:rsidRDefault="001C5772" w:rsidP="001C5772">
      <w:pPr>
        <w:pStyle w:val="ListParagraph"/>
        <w:spacing w:after="0" w:line="240" w:lineRule="auto"/>
        <w:rPr>
          <w:rFonts w:ascii="Calibri" w:hAnsi="Calibri" w:cs="Calibri"/>
          <w:sz w:val="20"/>
          <w:szCs w:val="20"/>
        </w:rPr>
      </w:pPr>
    </w:p>
    <w:p w14:paraId="69AAA467" w14:textId="77777777" w:rsidR="001C5772" w:rsidRPr="00BE736B" w:rsidRDefault="001C5772" w:rsidP="001C5772">
      <w:pPr>
        <w:pStyle w:val="ListParagraph"/>
        <w:numPr>
          <w:ilvl w:val="0"/>
          <w:numId w:val="12"/>
        </w:numPr>
        <w:spacing w:after="0" w:line="240" w:lineRule="auto"/>
        <w:jc w:val="both"/>
        <w:rPr>
          <w:rFonts w:ascii="Calibri" w:hAnsi="Calibri" w:cs="Calibri"/>
          <w:sz w:val="20"/>
          <w:szCs w:val="20"/>
        </w:rPr>
      </w:pPr>
      <w:r w:rsidRPr="00BE736B">
        <w:rPr>
          <w:rFonts w:ascii="Calibri" w:hAnsi="Calibri" w:cs="Calibri"/>
          <w:sz w:val="20"/>
          <w:szCs w:val="20"/>
        </w:rPr>
        <w:t>VASP services include, but are not limited to, the following:</w:t>
      </w:r>
    </w:p>
    <w:p w14:paraId="5271F11D" w14:textId="77777777" w:rsidR="001C5772" w:rsidRPr="00BE736B" w:rsidRDefault="001C5772" w:rsidP="001C5772">
      <w:pPr>
        <w:pStyle w:val="ListParagraph"/>
        <w:spacing w:after="0" w:line="240" w:lineRule="auto"/>
        <w:rPr>
          <w:rFonts w:ascii="Calibri" w:hAnsi="Calibri" w:cs="Calibri"/>
          <w:sz w:val="20"/>
          <w:szCs w:val="20"/>
        </w:rPr>
      </w:pPr>
    </w:p>
    <w:p w14:paraId="783BBC60"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Provide technical solutions to supplement the capabilities of the BOC e-Customs systems;</w:t>
      </w:r>
    </w:p>
    <w:p w14:paraId="26B69CB9"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Provide available VASP technical assistance nationwide;</w:t>
      </w:r>
    </w:p>
    <w:p w14:paraId="46A723C6"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Provide support to the BOC in prosecuting violations of tariff and customs laws;</w:t>
      </w:r>
    </w:p>
    <w:p w14:paraId="1514301C"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Receive and transmit electronic data to concerned BOC offices and stakeholders;</w:t>
      </w:r>
    </w:p>
    <w:p w14:paraId="42865918"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Act on the responses and messages returned by the BOC gateway/system;</w:t>
      </w:r>
    </w:p>
    <w:p w14:paraId="3714CD07"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Other services as may defined and determined by the BOC Commissioner.</w:t>
      </w:r>
    </w:p>
    <w:p w14:paraId="340A612E" w14:textId="77777777" w:rsidR="001C5772" w:rsidRPr="00BE736B" w:rsidRDefault="001C5772" w:rsidP="001C5772">
      <w:pPr>
        <w:pStyle w:val="ListParagraph"/>
        <w:spacing w:after="0" w:line="240" w:lineRule="auto"/>
        <w:jc w:val="both"/>
        <w:rPr>
          <w:rFonts w:ascii="Calibri" w:hAnsi="Calibri" w:cs="Calibri"/>
          <w:sz w:val="20"/>
          <w:szCs w:val="20"/>
        </w:rPr>
      </w:pPr>
    </w:p>
    <w:p w14:paraId="0D3F012C" w14:textId="77777777" w:rsidR="001C5772" w:rsidRPr="00BE736B" w:rsidRDefault="001C5772" w:rsidP="001C5772">
      <w:pPr>
        <w:pStyle w:val="ListParagraph"/>
        <w:numPr>
          <w:ilvl w:val="0"/>
          <w:numId w:val="12"/>
        </w:numPr>
        <w:spacing w:after="0" w:line="240" w:lineRule="auto"/>
        <w:jc w:val="both"/>
        <w:rPr>
          <w:rFonts w:ascii="Calibri" w:hAnsi="Calibri" w:cs="Calibri"/>
          <w:sz w:val="20"/>
          <w:szCs w:val="20"/>
        </w:rPr>
      </w:pPr>
      <w:r w:rsidRPr="00BE736B">
        <w:rPr>
          <w:rFonts w:ascii="Calibri" w:hAnsi="Calibri" w:cs="Calibri"/>
          <w:sz w:val="20"/>
          <w:szCs w:val="20"/>
        </w:rPr>
        <w:t>The accreditation of VASP/s shall be valid for a period of 3 years.</w:t>
      </w:r>
    </w:p>
    <w:p w14:paraId="451CB832" w14:textId="77777777" w:rsidR="001C5772" w:rsidRPr="00BE736B" w:rsidRDefault="001C5772" w:rsidP="001C5772">
      <w:pPr>
        <w:pStyle w:val="ListParagraph"/>
        <w:spacing w:after="0" w:line="240" w:lineRule="auto"/>
        <w:jc w:val="both"/>
        <w:rPr>
          <w:rFonts w:ascii="Calibri" w:hAnsi="Calibri" w:cs="Calibri"/>
          <w:sz w:val="20"/>
          <w:szCs w:val="20"/>
        </w:rPr>
      </w:pPr>
    </w:p>
    <w:p w14:paraId="79D32D61" w14:textId="77777777" w:rsidR="001C5772" w:rsidRPr="00BE736B" w:rsidRDefault="001C5772" w:rsidP="001C5772">
      <w:pPr>
        <w:pStyle w:val="ListParagraph"/>
        <w:numPr>
          <w:ilvl w:val="0"/>
          <w:numId w:val="12"/>
        </w:numPr>
        <w:spacing w:after="0" w:line="240" w:lineRule="auto"/>
        <w:jc w:val="both"/>
        <w:rPr>
          <w:rFonts w:ascii="Calibri" w:hAnsi="Calibri" w:cs="Calibri"/>
          <w:sz w:val="20"/>
          <w:szCs w:val="20"/>
        </w:rPr>
      </w:pPr>
      <w:r w:rsidRPr="00BE736B">
        <w:rPr>
          <w:rFonts w:ascii="Calibri" w:hAnsi="Calibri" w:cs="Calibri"/>
          <w:sz w:val="20"/>
          <w:szCs w:val="20"/>
        </w:rPr>
        <w:t>The accreditation may be renewed after due evaluation of the quality of their performance as measured by the SLA and continued compliance with the eligibility requirements.</w:t>
      </w:r>
    </w:p>
    <w:p w14:paraId="3580CC90" w14:textId="77777777" w:rsidR="001C5772" w:rsidRPr="00BE736B" w:rsidRDefault="001C5772" w:rsidP="001C5772">
      <w:pPr>
        <w:pStyle w:val="ListParagraph"/>
        <w:spacing w:after="0" w:line="240" w:lineRule="auto"/>
        <w:rPr>
          <w:rFonts w:ascii="Calibri" w:hAnsi="Calibri" w:cs="Calibri"/>
          <w:sz w:val="20"/>
          <w:szCs w:val="20"/>
        </w:rPr>
      </w:pPr>
    </w:p>
    <w:p w14:paraId="29348090"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The validity of the renewed accreditation shall be a period of 1 year.</w:t>
      </w:r>
    </w:p>
    <w:p w14:paraId="5E34DC64"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The application for renewal shall be filed at least 1 month prior to the expiration of the original period.</w:t>
      </w:r>
    </w:p>
    <w:p w14:paraId="2CF7DE7E"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 xml:space="preserve">if the BOC fails to act thereon, the accreditation shall automatically be extended </w:t>
      </w:r>
      <w:proofErr w:type="gramStart"/>
      <w:r w:rsidRPr="00BE736B">
        <w:rPr>
          <w:rFonts w:ascii="Calibri" w:hAnsi="Calibri" w:cs="Calibri"/>
          <w:sz w:val="20"/>
          <w:szCs w:val="20"/>
        </w:rPr>
        <w:t>on a daily basis</w:t>
      </w:r>
      <w:proofErr w:type="gramEnd"/>
      <w:r w:rsidRPr="00BE736B">
        <w:rPr>
          <w:rFonts w:ascii="Calibri" w:hAnsi="Calibri" w:cs="Calibri"/>
          <w:sz w:val="20"/>
          <w:szCs w:val="20"/>
        </w:rPr>
        <w:t>.</w:t>
      </w:r>
    </w:p>
    <w:p w14:paraId="3C1F4C69" w14:textId="77777777" w:rsidR="001C5772" w:rsidRPr="00BE736B" w:rsidRDefault="001C5772" w:rsidP="001C5772">
      <w:pPr>
        <w:pStyle w:val="ListParagraph"/>
        <w:spacing w:after="0" w:line="240" w:lineRule="auto"/>
        <w:ind w:left="1440"/>
        <w:jc w:val="both"/>
        <w:rPr>
          <w:rFonts w:ascii="Calibri" w:hAnsi="Calibri" w:cs="Calibri"/>
          <w:sz w:val="20"/>
          <w:szCs w:val="20"/>
        </w:rPr>
      </w:pPr>
    </w:p>
    <w:p w14:paraId="17C31A4F" w14:textId="77777777" w:rsidR="001C5772" w:rsidRPr="00BE736B" w:rsidRDefault="001C5772" w:rsidP="001C5772">
      <w:pPr>
        <w:pStyle w:val="ListParagraph"/>
        <w:numPr>
          <w:ilvl w:val="0"/>
          <w:numId w:val="12"/>
        </w:numPr>
        <w:spacing w:after="0" w:line="240" w:lineRule="auto"/>
        <w:jc w:val="both"/>
        <w:rPr>
          <w:rFonts w:ascii="Calibri" w:hAnsi="Calibri" w:cs="Calibri"/>
          <w:sz w:val="20"/>
          <w:szCs w:val="20"/>
        </w:rPr>
      </w:pPr>
      <w:r w:rsidRPr="00BE736B">
        <w:rPr>
          <w:rFonts w:ascii="Calibri" w:hAnsi="Calibri" w:cs="Calibri"/>
          <w:sz w:val="20"/>
          <w:szCs w:val="20"/>
        </w:rPr>
        <w:t>The BOC may, subject to prior notice, pre-terminate the accreditation of the VASP for any of the following grounds:</w:t>
      </w:r>
    </w:p>
    <w:p w14:paraId="32D50B16" w14:textId="77777777" w:rsidR="001C5772" w:rsidRPr="00BE736B" w:rsidRDefault="001C5772" w:rsidP="001C5772">
      <w:pPr>
        <w:pStyle w:val="ListParagraph"/>
        <w:spacing w:after="0" w:line="240" w:lineRule="auto"/>
        <w:jc w:val="both"/>
        <w:rPr>
          <w:rFonts w:ascii="Calibri" w:hAnsi="Calibri" w:cs="Calibri"/>
          <w:sz w:val="20"/>
          <w:szCs w:val="20"/>
        </w:rPr>
      </w:pPr>
    </w:p>
    <w:p w14:paraId="32172249"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Violation of the provisions of CAO No. 14-2020 and related rules and regulations;</w:t>
      </w:r>
    </w:p>
    <w:p w14:paraId="3C8B1573"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Violation of the CMTA, Data Privacy Act, Philippine Competition Act and other related laws;</w:t>
      </w:r>
    </w:p>
    <w:p w14:paraId="3EC2A8D4"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Actions inimical to the security and integrity of BOC operations; and</w:t>
      </w:r>
    </w:p>
    <w:p w14:paraId="4CD3B4DE" w14:textId="77777777" w:rsidR="001C5772" w:rsidRPr="00BE736B" w:rsidRDefault="001C5772" w:rsidP="001C5772">
      <w:pPr>
        <w:pStyle w:val="ListParagraph"/>
        <w:numPr>
          <w:ilvl w:val="1"/>
          <w:numId w:val="12"/>
        </w:numPr>
        <w:spacing w:after="0" w:line="240" w:lineRule="auto"/>
        <w:jc w:val="both"/>
        <w:rPr>
          <w:rFonts w:ascii="Calibri" w:hAnsi="Calibri" w:cs="Calibri"/>
          <w:sz w:val="20"/>
          <w:szCs w:val="20"/>
        </w:rPr>
      </w:pPr>
      <w:r w:rsidRPr="00BE736B">
        <w:rPr>
          <w:rFonts w:ascii="Calibri" w:hAnsi="Calibri" w:cs="Calibri"/>
          <w:sz w:val="20"/>
          <w:szCs w:val="20"/>
        </w:rPr>
        <w:t>Other grounds as provided under this CAO or as determined by the BOC.</w:t>
      </w:r>
    </w:p>
    <w:p w14:paraId="70CE790B" w14:textId="77777777" w:rsidR="001C5772" w:rsidRPr="00BE736B" w:rsidRDefault="001C5772" w:rsidP="001C5772">
      <w:pPr>
        <w:pStyle w:val="ListParagraph"/>
        <w:spacing w:after="0" w:line="240" w:lineRule="auto"/>
        <w:jc w:val="both"/>
        <w:rPr>
          <w:rFonts w:ascii="Calibri" w:hAnsi="Calibri" w:cs="Calibri"/>
          <w:sz w:val="20"/>
          <w:szCs w:val="20"/>
        </w:rPr>
      </w:pPr>
    </w:p>
    <w:p w14:paraId="3C069761" w14:textId="77777777" w:rsidR="001C5772" w:rsidRPr="00BE736B" w:rsidRDefault="001C5772" w:rsidP="001C5772">
      <w:pPr>
        <w:pStyle w:val="ListParagraph"/>
        <w:numPr>
          <w:ilvl w:val="0"/>
          <w:numId w:val="12"/>
        </w:numPr>
        <w:spacing w:after="0" w:line="240" w:lineRule="auto"/>
        <w:jc w:val="both"/>
        <w:rPr>
          <w:rFonts w:ascii="Calibri" w:hAnsi="Calibri" w:cs="Calibri"/>
          <w:sz w:val="20"/>
          <w:szCs w:val="20"/>
        </w:rPr>
      </w:pPr>
      <w:r w:rsidRPr="00BE736B">
        <w:rPr>
          <w:rFonts w:ascii="Calibri" w:hAnsi="Calibri" w:cs="Calibri"/>
          <w:sz w:val="20"/>
          <w:szCs w:val="20"/>
        </w:rPr>
        <w:t>For purposes of customs procedure, electronic data transmitted by the VASPs, such as documents, permits, licenses or certificates shall be acceptable and shall have legal effect, validity or enforceability as any other document or legal writing. Upon compliance by the VASP of the requirements, the BOC shall recognize the authenticity and reliability of the electronic documents by transmitting the acceptance or approval of the same in the form of electronic data messages or electronic documents.</w:t>
      </w:r>
    </w:p>
    <w:p w14:paraId="63EA2BCB" w14:textId="77777777" w:rsidR="001C5772" w:rsidRPr="00BE736B" w:rsidRDefault="001C5772" w:rsidP="001C5772">
      <w:pPr>
        <w:pStyle w:val="ListParagraph"/>
        <w:spacing w:after="0" w:line="240" w:lineRule="auto"/>
        <w:jc w:val="both"/>
        <w:rPr>
          <w:rFonts w:ascii="Calibri" w:hAnsi="Calibri" w:cs="Calibri"/>
          <w:sz w:val="20"/>
          <w:szCs w:val="20"/>
        </w:rPr>
      </w:pPr>
    </w:p>
    <w:p w14:paraId="299EF67F" w14:textId="77777777" w:rsidR="001C5772" w:rsidRPr="00BE736B" w:rsidRDefault="001C5772" w:rsidP="001C5772">
      <w:pPr>
        <w:pStyle w:val="ListParagraph"/>
        <w:numPr>
          <w:ilvl w:val="0"/>
          <w:numId w:val="12"/>
        </w:numPr>
        <w:spacing w:after="0" w:line="240" w:lineRule="auto"/>
        <w:jc w:val="both"/>
        <w:rPr>
          <w:rFonts w:ascii="Calibri" w:hAnsi="Calibri" w:cs="Calibri"/>
          <w:sz w:val="20"/>
          <w:szCs w:val="20"/>
        </w:rPr>
      </w:pPr>
      <w:r w:rsidRPr="00BE736B">
        <w:rPr>
          <w:rFonts w:ascii="Calibri" w:hAnsi="Calibri" w:cs="Calibri"/>
          <w:sz w:val="20"/>
          <w:szCs w:val="20"/>
        </w:rPr>
        <w:t>CAO No. 14-2020 shall take effect after 30 days following the completion of its publication at the Official Gazette or a newspaper of general circulation.</w:t>
      </w:r>
    </w:p>
    <w:p w14:paraId="52632141" w14:textId="77777777" w:rsidR="001C5772" w:rsidRPr="00BE736B" w:rsidRDefault="001C5772" w:rsidP="001C5772">
      <w:pPr>
        <w:pStyle w:val="ListParagraph"/>
        <w:spacing w:after="0" w:line="240" w:lineRule="auto"/>
        <w:rPr>
          <w:rFonts w:ascii="Calibri" w:hAnsi="Calibri" w:cs="Calibri"/>
          <w:sz w:val="20"/>
          <w:szCs w:val="20"/>
        </w:rPr>
      </w:pPr>
    </w:p>
    <w:p w14:paraId="3FFFA084"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i/>
          <w:iCs/>
          <w:sz w:val="20"/>
          <w:szCs w:val="20"/>
        </w:rPr>
        <w:lastRenderedPageBreak/>
        <w:t xml:space="preserve"> (Editor’s Note: CAO No. 14-2020 was published on December 23, 2020 in The Manila Times, p. C2)</w:t>
      </w:r>
    </w:p>
    <w:p w14:paraId="4CBDC2FE" w14:textId="77777777" w:rsidR="001C5772" w:rsidRPr="00BE736B" w:rsidRDefault="001C5772" w:rsidP="001C5772">
      <w:pPr>
        <w:tabs>
          <w:tab w:val="center" w:pos="4680"/>
          <w:tab w:val="left" w:pos="5880"/>
        </w:tabs>
        <w:spacing w:after="0" w:line="240" w:lineRule="auto"/>
        <w:jc w:val="both"/>
        <w:rPr>
          <w:rFonts w:ascii="Calibri" w:hAnsi="Calibri" w:cs="Calibri"/>
          <w:sz w:val="20"/>
          <w:szCs w:val="20"/>
        </w:rPr>
      </w:pPr>
    </w:p>
    <w:p w14:paraId="26EE585A" w14:textId="77777777" w:rsidR="001C5772" w:rsidRPr="00BE736B" w:rsidRDefault="001C5772" w:rsidP="001C5772">
      <w:pPr>
        <w:tabs>
          <w:tab w:val="center" w:pos="4680"/>
          <w:tab w:val="left" w:pos="5880"/>
        </w:tabs>
        <w:spacing w:after="0" w:line="240" w:lineRule="auto"/>
        <w:jc w:val="both"/>
        <w:rPr>
          <w:rFonts w:ascii="Calibri" w:hAnsi="Calibri" w:cs="Calibri"/>
          <w:sz w:val="20"/>
          <w:szCs w:val="20"/>
        </w:rPr>
      </w:pPr>
      <w:r w:rsidRPr="00BE736B">
        <w:rPr>
          <w:rFonts w:ascii="Calibri" w:hAnsi="Calibri" w:cs="Calibri"/>
          <w:sz w:val="20"/>
          <w:szCs w:val="20"/>
        </w:rPr>
        <w:tab/>
        <w:t>*****</w:t>
      </w:r>
    </w:p>
    <w:p w14:paraId="20C03283" w14:textId="77777777" w:rsidR="001C5772" w:rsidRPr="00BE736B" w:rsidRDefault="001C5772" w:rsidP="001C5772">
      <w:pPr>
        <w:tabs>
          <w:tab w:val="center" w:pos="4680"/>
          <w:tab w:val="left" w:pos="5880"/>
        </w:tabs>
        <w:spacing w:after="0" w:line="240" w:lineRule="auto"/>
        <w:jc w:val="both"/>
        <w:rPr>
          <w:rFonts w:ascii="Calibri" w:hAnsi="Calibri" w:cs="Calibri"/>
          <w:sz w:val="20"/>
          <w:szCs w:val="20"/>
        </w:rPr>
      </w:pPr>
    </w:p>
    <w:p w14:paraId="085E9FD0" w14:textId="77777777" w:rsidR="001C5772" w:rsidRPr="00BE736B" w:rsidRDefault="001C5772" w:rsidP="001C5772">
      <w:pPr>
        <w:tabs>
          <w:tab w:val="center" w:pos="4680"/>
          <w:tab w:val="left" w:pos="5880"/>
        </w:tabs>
        <w:spacing w:after="0" w:line="240" w:lineRule="auto"/>
        <w:jc w:val="both"/>
        <w:rPr>
          <w:rFonts w:ascii="Calibri" w:hAnsi="Calibri" w:cs="Calibri"/>
          <w:sz w:val="20"/>
          <w:szCs w:val="20"/>
        </w:rPr>
      </w:pPr>
    </w:p>
    <w:p w14:paraId="3125A855" w14:textId="77777777" w:rsidR="001C5772" w:rsidRPr="00BE736B" w:rsidRDefault="001C5772" w:rsidP="001C5772">
      <w:pPr>
        <w:tabs>
          <w:tab w:val="center" w:pos="4680"/>
          <w:tab w:val="left" w:pos="5880"/>
        </w:tabs>
        <w:spacing w:after="0" w:line="240" w:lineRule="auto"/>
        <w:jc w:val="both"/>
        <w:rPr>
          <w:rFonts w:ascii="Calibri" w:hAnsi="Calibri" w:cs="Calibri"/>
          <w:sz w:val="20"/>
          <w:szCs w:val="20"/>
        </w:rPr>
      </w:pPr>
    </w:p>
    <w:p w14:paraId="0CB7A072"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t>Collection of General Safeguard Duty on Imported Cement pursuant to Department of Trade and Industry (DTI) Order No. 20-08</w:t>
      </w:r>
    </w:p>
    <w:p w14:paraId="7B92E78A" w14:textId="77777777" w:rsidR="001C5772" w:rsidRPr="00BE736B" w:rsidRDefault="001C5772" w:rsidP="001C5772">
      <w:pPr>
        <w:spacing w:after="0" w:line="240" w:lineRule="auto"/>
        <w:rPr>
          <w:rFonts w:ascii="Calibri" w:hAnsi="Calibri" w:cs="Calibri"/>
          <w:b/>
          <w:bCs/>
          <w:sz w:val="20"/>
          <w:szCs w:val="20"/>
        </w:rPr>
      </w:pPr>
    </w:p>
    <w:p w14:paraId="4DC986D4"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t>Customs Memorandum Order (CMO) No. 29-2020</w:t>
      </w:r>
    </w:p>
    <w:p w14:paraId="474649DB" w14:textId="77777777" w:rsidR="001C5772" w:rsidRPr="00BE736B" w:rsidRDefault="001C5772" w:rsidP="001C5772">
      <w:pPr>
        <w:spacing w:after="0" w:line="240" w:lineRule="auto"/>
        <w:jc w:val="both"/>
        <w:rPr>
          <w:rFonts w:ascii="Calibri" w:hAnsi="Calibri" w:cs="Calibri"/>
          <w:i/>
          <w:iCs/>
          <w:sz w:val="20"/>
          <w:szCs w:val="20"/>
        </w:rPr>
      </w:pPr>
    </w:p>
    <w:p w14:paraId="6E8C4467" w14:textId="77777777" w:rsidR="001C5772" w:rsidRPr="00BE736B" w:rsidRDefault="001C5772" w:rsidP="001C5772">
      <w:pPr>
        <w:spacing w:after="0" w:line="240" w:lineRule="auto"/>
        <w:jc w:val="both"/>
        <w:rPr>
          <w:rFonts w:ascii="Calibri" w:hAnsi="Calibri" w:cs="Calibri"/>
          <w:i/>
          <w:iCs/>
          <w:sz w:val="20"/>
          <w:szCs w:val="20"/>
        </w:rPr>
      </w:pPr>
      <w:r w:rsidRPr="00BE736B">
        <w:rPr>
          <w:rFonts w:ascii="Calibri" w:hAnsi="Calibri" w:cs="Calibri"/>
          <w:i/>
          <w:iCs/>
          <w:sz w:val="20"/>
          <w:szCs w:val="20"/>
        </w:rPr>
        <w:t>CMO No. 29-2020 covers the Collection of General Safeguard Duty on Imported Cement pursuant to Department of Trade and Industry (DTI) Order No. 20-08 issued on 26 October 2020.</w:t>
      </w:r>
    </w:p>
    <w:p w14:paraId="16290833" w14:textId="77777777" w:rsidR="001C5772" w:rsidRPr="00BE736B" w:rsidRDefault="001C5772" w:rsidP="001C5772">
      <w:pPr>
        <w:spacing w:after="0" w:line="240" w:lineRule="auto"/>
        <w:jc w:val="both"/>
        <w:rPr>
          <w:rFonts w:ascii="Calibri" w:hAnsi="Calibri" w:cs="Calibri"/>
          <w:i/>
          <w:iCs/>
          <w:sz w:val="20"/>
          <w:szCs w:val="20"/>
        </w:rPr>
      </w:pPr>
    </w:p>
    <w:p w14:paraId="3F2C4BD8" w14:textId="77777777" w:rsidR="001C5772" w:rsidRPr="00BE736B" w:rsidRDefault="001C5772" w:rsidP="001C5772">
      <w:pPr>
        <w:pStyle w:val="ListParagraph"/>
        <w:numPr>
          <w:ilvl w:val="0"/>
          <w:numId w:val="14"/>
        </w:numPr>
        <w:spacing w:after="0" w:line="240" w:lineRule="auto"/>
        <w:jc w:val="both"/>
        <w:rPr>
          <w:rFonts w:ascii="Calibri" w:hAnsi="Calibri" w:cs="Calibri"/>
          <w:sz w:val="20"/>
          <w:szCs w:val="20"/>
        </w:rPr>
      </w:pPr>
      <w:r w:rsidRPr="00BE736B">
        <w:rPr>
          <w:rFonts w:ascii="Calibri" w:hAnsi="Calibri" w:cs="Calibri"/>
          <w:sz w:val="20"/>
          <w:szCs w:val="20"/>
        </w:rPr>
        <w:t>CMO 29-2020 aims to inform the BOC officers as well as the public for the imposition and collection of a definitive safeguard duty of Php 245 per metric ton (mt) or Php 9.80 per 40kg bag for all imported cement classified under AHTN Headings 2523.29.90 and 2523.90.00, regardless of origin and those which were imported within the period of 22 October 2020 to 21 October 2021.</w:t>
      </w:r>
    </w:p>
    <w:p w14:paraId="2166639B" w14:textId="77777777" w:rsidR="001C5772" w:rsidRPr="00BE736B" w:rsidRDefault="001C5772" w:rsidP="001C5772">
      <w:pPr>
        <w:pStyle w:val="ListParagraph"/>
        <w:spacing w:after="0" w:line="240" w:lineRule="auto"/>
        <w:jc w:val="both"/>
        <w:rPr>
          <w:rFonts w:ascii="Calibri" w:hAnsi="Calibri" w:cs="Calibri"/>
          <w:sz w:val="20"/>
          <w:szCs w:val="20"/>
        </w:rPr>
      </w:pPr>
    </w:p>
    <w:p w14:paraId="7007E562" w14:textId="77777777" w:rsidR="001C5772" w:rsidRPr="00BE736B" w:rsidRDefault="001C5772" w:rsidP="001C5772">
      <w:pPr>
        <w:pStyle w:val="ListParagraph"/>
        <w:numPr>
          <w:ilvl w:val="0"/>
          <w:numId w:val="14"/>
        </w:numPr>
        <w:spacing w:after="0" w:line="240" w:lineRule="auto"/>
        <w:jc w:val="both"/>
        <w:rPr>
          <w:rFonts w:ascii="Calibri" w:hAnsi="Calibri" w:cs="Calibri"/>
          <w:sz w:val="20"/>
          <w:szCs w:val="20"/>
        </w:rPr>
      </w:pPr>
      <w:r w:rsidRPr="00BE736B">
        <w:rPr>
          <w:rFonts w:ascii="Calibri" w:hAnsi="Calibri" w:cs="Calibri"/>
          <w:sz w:val="20"/>
          <w:szCs w:val="20"/>
        </w:rPr>
        <w:t>All District Collectors are directed to impose and collect the Safeguard Duties provided under the DTI Order and within the period stated immediately upon receipt of the CMO pursuant to Rule 13.3 (b) of the Implementing Rules and Regulations Governing the Imposition of Safeguard Measure under Republic Act (RA) No. 8800 (Safeguard Measures Act).</w:t>
      </w:r>
    </w:p>
    <w:p w14:paraId="79F7C3A7" w14:textId="77777777" w:rsidR="001C5772" w:rsidRPr="00BE736B" w:rsidRDefault="001C5772" w:rsidP="001C5772">
      <w:pPr>
        <w:spacing w:after="0" w:line="240" w:lineRule="auto"/>
        <w:jc w:val="both"/>
        <w:rPr>
          <w:rFonts w:ascii="Calibri" w:hAnsi="Calibri" w:cs="Calibri"/>
          <w:i/>
          <w:iCs/>
          <w:sz w:val="20"/>
          <w:szCs w:val="20"/>
        </w:rPr>
      </w:pPr>
    </w:p>
    <w:p w14:paraId="3119E2F7"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i/>
          <w:iCs/>
          <w:sz w:val="20"/>
          <w:szCs w:val="20"/>
        </w:rPr>
        <w:t>(Editor’s Note: CMO No. 29-2020 is yet to be published)</w:t>
      </w:r>
    </w:p>
    <w:p w14:paraId="4924FCF7" w14:textId="77777777" w:rsidR="001C5772" w:rsidRPr="00BE736B" w:rsidRDefault="001C5772" w:rsidP="001C5772">
      <w:pPr>
        <w:tabs>
          <w:tab w:val="center" w:pos="4680"/>
          <w:tab w:val="left" w:pos="5880"/>
        </w:tabs>
        <w:spacing w:after="0" w:line="240" w:lineRule="auto"/>
        <w:jc w:val="both"/>
        <w:rPr>
          <w:rFonts w:ascii="Calibri" w:hAnsi="Calibri" w:cs="Calibri"/>
          <w:sz w:val="20"/>
          <w:szCs w:val="20"/>
        </w:rPr>
      </w:pPr>
      <w:bookmarkStart w:id="1" w:name="_Hlk57708140"/>
      <w:r w:rsidRPr="00BE736B">
        <w:rPr>
          <w:rFonts w:ascii="Calibri" w:hAnsi="Calibri" w:cs="Calibri"/>
          <w:sz w:val="20"/>
          <w:szCs w:val="20"/>
        </w:rPr>
        <w:tab/>
      </w:r>
    </w:p>
    <w:p w14:paraId="2B096467" w14:textId="77777777" w:rsidR="001C5772" w:rsidRPr="00BE736B" w:rsidRDefault="001C5772" w:rsidP="001C5772">
      <w:pPr>
        <w:tabs>
          <w:tab w:val="center" w:pos="4680"/>
          <w:tab w:val="left" w:pos="5880"/>
        </w:tabs>
        <w:spacing w:after="0" w:line="240" w:lineRule="auto"/>
        <w:jc w:val="center"/>
        <w:rPr>
          <w:rFonts w:ascii="Calibri" w:hAnsi="Calibri" w:cs="Calibri"/>
          <w:sz w:val="20"/>
          <w:szCs w:val="20"/>
        </w:rPr>
      </w:pPr>
      <w:r w:rsidRPr="00BE736B">
        <w:rPr>
          <w:rFonts w:ascii="Calibri" w:hAnsi="Calibri" w:cs="Calibri"/>
          <w:sz w:val="20"/>
          <w:szCs w:val="20"/>
        </w:rPr>
        <w:t>*****</w:t>
      </w:r>
    </w:p>
    <w:bookmarkEnd w:id="1"/>
    <w:p w14:paraId="225D80A3" w14:textId="77777777" w:rsidR="001C5772" w:rsidRPr="00BE736B" w:rsidRDefault="001C5772" w:rsidP="001C5772">
      <w:pPr>
        <w:spacing w:after="0" w:line="240" w:lineRule="auto"/>
        <w:rPr>
          <w:rFonts w:ascii="Calibri" w:hAnsi="Calibri" w:cs="Calibri"/>
          <w:b/>
          <w:sz w:val="20"/>
          <w:szCs w:val="20"/>
        </w:rPr>
      </w:pPr>
    </w:p>
    <w:p w14:paraId="781CB00C" w14:textId="77777777" w:rsidR="001C5772" w:rsidRPr="00BE736B" w:rsidRDefault="001C5772" w:rsidP="001C5772">
      <w:pPr>
        <w:spacing w:after="0" w:line="240" w:lineRule="auto"/>
        <w:rPr>
          <w:rFonts w:ascii="Calibri" w:hAnsi="Calibri" w:cs="Calibri"/>
          <w:b/>
          <w:sz w:val="20"/>
          <w:szCs w:val="20"/>
        </w:rPr>
      </w:pPr>
    </w:p>
    <w:p w14:paraId="7F9ABD75" w14:textId="77777777" w:rsidR="001C5772" w:rsidRPr="00BE736B" w:rsidRDefault="001C5772" w:rsidP="001C5772">
      <w:pPr>
        <w:spacing w:after="0" w:line="240" w:lineRule="auto"/>
        <w:jc w:val="both"/>
        <w:rPr>
          <w:rFonts w:ascii="Calibri" w:hAnsi="Calibri" w:cs="Calibri"/>
          <w:b/>
          <w:sz w:val="20"/>
          <w:szCs w:val="20"/>
        </w:rPr>
      </w:pPr>
      <w:r w:rsidRPr="00BE736B">
        <w:rPr>
          <w:rFonts w:ascii="Calibri" w:hAnsi="Calibri" w:cs="Calibri"/>
          <w:b/>
          <w:sz w:val="20"/>
          <w:szCs w:val="20"/>
        </w:rPr>
        <w:t>Guidelines for the Implementation of the General Transport Surety Bond (GTSB) through Automated Bonds Management System (ABMS)</w:t>
      </w:r>
    </w:p>
    <w:p w14:paraId="6E633081" w14:textId="77777777" w:rsidR="001C5772" w:rsidRPr="00BE736B" w:rsidRDefault="001C5772" w:rsidP="001C5772">
      <w:pPr>
        <w:spacing w:after="0" w:line="240" w:lineRule="auto"/>
        <w:jc w:val="both"/>
        <w:rPr>
          <w:rFonts w:ascii="Calibri" w:hAnsi="Calibri" w:cs="Calibri"/>
          <w:sz w:val="20"/>
          <w:szCs w:val="20"/>
        </w:rPr>
      </w:pPr>
    </w:p>
    <w:p w14:paraId="6E48C091" w14:textId="77777777" w:rsidR="001C5772" w:rsidRPr="00BE736B" w:rsidRDefault="001C5772" w:rsidP="001C5772">
      <w:pPr>
        <w:spacing w:after="0" w:line="240" w:lineRule="auto"/>
        <w:jc w:val="both"/>
        <w:rPr>
          <w:rFonts w:ascii="Calibri" w:hAnsi="Calibri" w:cs="Calibri"/>
          <w:b/>
          <w:bCs/>
          <w:sz w:val="20"/>
          <w:szCs w:val="20"/>
        </w:rPr>
      </w:pPr>
      <w:r w:rsidRPr="00BE736B">
        <w:rPr>
          <w:rFonts w:ascii="Calibri" w:hAnsi="Calibri" w:cs="Calibri"/>
          <w:b/>
          <w:bCs/>
          <w:sz w:val="20"/>
          <w:szCs w:val="20"/>
        </w:rPr>
        <w:t>CMO No. 30-2020</w:t>
      </w:r>
    </w:p>
    <w:p w14:paraId="781076AE" w14:textId="77777777" w:rsidR="001C5772" w:rsidRPr="00BE736B" w:rsidRDefault="001C5772" w:rsidP="001C5772">
      <w:pPr>
        <w:spacing w:after="0" w:line="240" w:lineRule="auto"/>
        <w:jc w:val="both"/>
        <w:rPr>
          <w:rFonts w:ascii="Calibri" w:hAnsi="Calibri" w:cs="Calibri"/>
          <w:i/>
          <w:iCs/>
          <w:sz w:val="20"/>
          <w:szCs w:val="20"/>
        </w:rPr>
      </w:pPr>
    </w:p>
    <w:p w14:paraId="2AA5E2BB" w14:textId="77777777" w:rsidR="001C5772" w:rsidRPr="00BE736B" w:rsidRDefault="001C5772" w:rsidP="001C5772">
      <w:pPr>
        <w:spacing w:after="0" w:line="240" w:lineRule="auto"/>
        <w:jc w:val="both"/>
        <w:rPr>
          <w:rFonts w:ascii="Calibri" w:hAnsi="Calibri" w:cs="Calibri"/>
          <w:i/>
          <w:iCs/>
          <w:sz w:val="20"/>
          <w:szCs w:val="20"/>
        </w:rPr>
      </w:pPr>
      <w:r w:rsidRPr="00BE736B">
        <w:rPr>
          <w:rFonts w:ascii="Calibri" w:hAnsi="Calibri" w:cs="Calibri"/>
          <w:i/>
          <w:iCs/>
          <w:sz w:val="20"/>
          <w:szCs w:val="20"/>
        </w:rPr>
        <w:t xml:space="preserve">CMO No. 30-2020 provides the guidelines to implement the ABMS for GTSB in all customs port. </w:t>
      </w:r>
    </w:p>
    <w:p w14:paraId="38F7DA9A" w14:textId="77777777" w:rsidR="001C5772" w:rsidRPr="00BE736B" w:rsidRDefault="001C5772" w:rsidP="001C5772">
      <w:pPr>
        <w:pStyle w:val="ListParagraph"/>
        <w:spacing w:after="0" w:line="240" w:lineRule="auto"/>
        <w:jc w:val="both"/>
        <w:rPr>
          <w:rFonts w:ascii="Calibri" w:hAnsi="Calibri" w:cs="Calibri"/>
          <w:sz w:val="20"/>
          <w:szCs w:val="20"/>
        </w:rPr>
      </w:pPr>
    </w:p>
    <w:p w14:paraId="178A2867" w14:textId="77777777" w:rsidR="001C5772" w:rsidRPr="00BE736B" w:rsidRDefault="001C5772" w:rsidP="001C5772">
      <w:pPr>
        <w:pStyle w:val="ListParagraph"/>
        <w:numPr>
          <w:ilvl w:val="0"/>
          <w:numId w:val="13"/>
        </w:numPr>
        <w:spacing w:after="0" w:line="240" w:lineRule="auto"/>
        <w:jc w:val="both"/>
        <w:rPr>
          <w:rFonts w:ascii="Calibri" w:hAnsi="Calibri" w:cs="Calibri"/>
          <w:sz w:val="20"/>
          <w:szCs w:val="20"/>
        </w:rPr>
      </w:pPr>
      <w:r w:rsidRPr="00BE736B">
        <w:rPr>
          <w:rFonts w:ascii="Calibri" w:hAnsi="Calibri" w:cs="Calibri"/>
          <w:sz w:val="20"/>
          <w:szCs w:val="20"/>
        </w:rPr>
        <w:t>CMO 30-2020 shall apply to all Transit Bond Accounts opened under the Electronic to Mobile (E2M) Customs System in all Collection Districts, including sub-ports and other BOC offices.</w:t>
      </w:r>
    </w:p>
    <w:p w14:paraId="2A3CC4D2" w14:textId="77777777" w:rsidR="001C5772" w:rsidRPr="00BE736B" w:rsidRDefault="001C5772" w:rsidP="001C5772">
      <w:pPr>
        <w:pStyle w:val="ListParagraph"/>
        <w:spacing w:after="0" w:line="240" w:lineRule="auto"/>
        <w:jc w:val="both"/>
        <w:rPr>
          <w:rFonts w:ascii="Calibri" w:hAnsi="Calibri" w:cs="Calibri"/>
          <w:sz w:val="20"/>
          <w:szCs w:val="20"/>
        </w:rPr>
      </w:pPr>
    </w:p>
    <w:p w14:paraId="7857781D" w14:textId="77777777" w:rsidR="001C5772" w:rsidRPr="00BE736B" w:rsidRDefault="001C5772" w:rsidP="001C5772">
      <w:pPr>
        <w:pStyle w:val="ListParagraph"/>
        <w:numPr>
          <w:ilvl w:val="0"/>
          <w:numId w:val="13"/>
        </w:numPr>
        <w:spacing w:after="0" w:line="240" w:lineRule="auto"/>
        <w:jc w:val="both"/>
        <w:rPr>
          <w:rFonts w:ascii="Calibri" w:hAnsi="Calibri" w:cs="Calibri"/>
          <w:sz w:val="20"/>
          <w:szCs w:val="20"/>
        </w:rPr>
      </w:pPr>
      <w:r w:rsidRPr="00BE736B">
        <w:rPr>
          <w:rFonts w:ascii="Calibri" w:hAnsi="Calibri" w:cs="Calibri"/>
          <w:sz w:val="20"/>
          <w:szCs w:val="20"/>
        </w:rPr>
        <w:t>An ABMS is a BOC-wide system for processing bond transactions established pursuant to CMO No. 14-2012. It monitors and ages bond balances and flags those that have matured.</w:t>
      </w:r>
    </w:p>
    <w:p w14:paraId="4EA7E9D8" w14:textId="77777777" w:rsidR="001C5772" w:rsidRPr="00BE736B" w:rsidRDefault="001C5772" w:rsidP="001C5772">
      <w:pPr>
        <w:pStyle w:val="ListParagraph"/>
        <w:spacing w:after="0" w:line="240" w:lineRule="auto"/>
        <w:rPr>
          <w:rFonts w:ascii="Calibri" w:hAnsi="Calibri" w:cs="Calibri"/>
          <w:sz w:val="20"/>
          <w:szCs w:val="20"/>
        </w:rPr>
      </w:pPr>
    </w:p>
    <w:p w14:paraId="1AC2E04F" w14:textId="77777777" w:rsidR="001C5772" w:rsidRPr="00BE736B" w:rsidRDefault="001C5772" w:rsidP="001C5772">
      <w:pPr>
        <w:pStyle w:val="ListParagraph"/>
        <w:numPr>
          <w:ilvl w:val="0"/>
          <w:numId w:val="13"/>
        </w:numPr>
        <w:spacing w:after="0" w:line="240" w:lineRule="auto"/>
        <w:jc w:val="both"/>
        <w:rPr>
          <w:rFonts w:ascii="Calibri" w:hAnsi="Calibri" w:cs="Calibri"/>
          <w:sz w:val="20"/>
          <w:szCs w:val="20"/>
        </w:rPr>
      </w:pPr>
      <w:r w:rsidRPr="00BE736B">
        <w:rPr>
          <w:rFonts w:ascii="Calibri" w:hAnsi="Calibri" w:cs="Calibri"/>
          <w:sz w:val="20"/>
          <w:szCs w:val="20"/>
        </w:rPr>
        <w:t>The guidelines are as follows:</w:t>
      </w:r>
    </w:p>
    <w:p w14:paraId="4123EC33" w14:textId="77777777" w:rsidR="001C5772" w:rsidRPr="00BE736B" w:rsidRDefault="001C5772" w:rsidP="001C5772">
      <w:pPr>
        <w:pStyle w:val="ListParagraph"/>
        <w:spacing w:after="0" w:line="240" w:lineRule="auto"/>
        <w:rPr>
          <w:rFonts w:ascii="Calibri" w:hAnsi="Calibri" w:cs="Calibri"/>
          <w:sz w:val="20"/>
          <w:szCs w:val="20"/>
        </w:rPr>
      </w:pPr>
    </w:p>
    <w:p w14:paraId="1A292E88" w14:textId="77777777" w:rsidR="001C5772" w:rsidRPr="00BE736B" w:rsidRDefault="001C5772" w:rsidP="001C5772">
      <w:pPr>
        <w:pStyle w:val="ListParagraph"/>
        <w:numPr>
          <w:ilvl w:val="1"/>
          <w:numId w:val="13"/>
        </w:numPr>
        <w:spacing w:after="0" w:line="240" w:lineRule="auto"/>
        <w:jc w:val="both"/>
        <w:rPr>
          <w:rFonts w:ascii="Calibri" w:hAnsi="Calibri" w:cs="Calibri"/>
          <w:sz w:val="20"/>
          <w:szCs w:val="20"/>
        </w:rPr>
      </w:pPr>
      <w:r w:rsidRPr="00BE736B">
        <w:rPr>
          <w:rFonts w:ascii="Calibri" w:hAnsi="Calibri" w:cs="Calibri"/>
          <w:sz w:val="20"/>
          <w:szCs w:val="20"/>
        </w:rPr>
        <w:t>All surety companies must be registered in the Client Profile Registration System (CPRS) of the E2M Customs System.</w:t>
      </w:r>
    </w:p>
    <w:p w14:paraId="38EACE41" w14:textId="77777777" w:rsidR="001C5772" w:rsidRPr="00BE736B" w:rsidRDefault="001C5772" w:rsidP="001C5772">
      <w:pPr>
        <w:pStyle w:val="ListParagraph"/>
        <w:numPr>
          <w:ilvl w:val="1"/>
          <w:numId w:val="13"/>
        </w:numPr>
        <w:spacing w:after="0" w:line="240" w:lineRule="auto"/>
        <w:jc w:val="both"/>
        <w:rPr>
          <w:rFonts w:ascii="Calibri" w:hAnsi="Calibri" w:cs="Calibri"/>
          <w:sz w:val="20"/>
          <w:szCs w:val="20"/>
        </w:rPr>
      </w:pPr>
      <w:r w:rsidRPr="00BE736B">
        <w:rPr>
          <w:rFonts w:ascii="Calibri" w:hAnsi="Calibri" w:cs="Calibri"/>
          <w:sz w:val="20"/>
          <w:szCs w:val="20"/>
        </w:rPr>
        <w:t>Transit bond policies filed shall be approved at the Bonds Division of the port.</w:t>
      </w:r>
    </w:p>
    <w:p w14:paraId="22F76BF5" w14:textId="77777777" w:rsidR="001C5772" w:rsidRPr="00BE736B" w:rsidRDefault="001C5772" w:rsidP="001C5772">
      <w:pPr>
        <w:pStyle w:val="ListParagraph"/>
        <w:numPr>
          <w:ilvl w:val="1"/>
          <w:numId w:val="13"/>
        </w:numPr>
        <w:spacing w:after="0" w:line="240" w:lineRule="auto"/>
        <w:jc w:val="both"/>
        <w:rPr>
          <w:rFonts w:ascii="Calibri" w:hAnsi="Calibri" w:cs="Calibri"/>
          <w:sz w:val="20"/>
          <w:szCs w:val="20"/>
        </w:rPr>
      </w:pPr>
      <w:r w:rsidRPr="00BE736B">
        <w:rPr>
          <w:rFonts w:ascii="Calibri" w:hAnsi="Calibri" w:cs="Calibri"/>
          <w:sz w:val="20"/>
          <w:szCs w:val="20"/>
        </w:rPr>
        <w:t>Approved bond policies filed on the current year at the port of discharge will expire on the 31</w:t>
      </w:r>
      <w:r w:rsidRPr="00BE736B">
        <w:rPr>
          <w:rFonts w:ascii="Calibri" w:hAnsi="Calibri" w:cs="Calibri"/>
          <w:sz w:val="20"/>
          <w:szCs w:val="20"/>
          <w:vertAlign w:val="superscript"/>
        </w:rPr>
        <w:t>st</w:t>
      </w:r>
      <w:r w:rsidRPr="00BE736B">
        <w:rPr>
          <w:rFonts w:ascii="Calibri" w:hAnsi="Calibri" w:cs="Calibri"/>
          <w:sz w:val="20"/>
          <w:szCs w:val="20"/>
        </w:rPr>
        <w:t xml:space="preserve"> day of January of the following year.</w:t>
      </w:r>
    </w:p>
    <w:p w14:paraId="08F54F67" w14:textId="77777777" w:rsidR="001C5772" w:rsidRPr="00BE736B" w:rsidRDefault="001C5772" w:rsidP="001C5772">
      <w:pPr>
        <w:pStyle w:val="ListParagraph"/>
        <w:numPr>
          <w:ilvl w:val="1"/>
          <w:numId w:val="13"/>
        </w:numPr>
        <w:spacing w:after="0" w:line="240" w:lineRule="auto"/>
        <w:jc w:val="both"/>
        <w:rPr>
          <w:rFonts w:ascii="Calibri" w:hAnsi="Calibri" w:cs="Calibri"/>
          <w:sz w:val="20"/>
          <w:szCs w:val="20"/>
        </w:rPr>
      </w:pPr>
      <w:r w:rsidRPr="00BE736B">
        <w:rPr>
          <w:rFonts w:ascii="Calibri" w:hAnsi="Calibri" w:cs="Calibri"/>
          <w:sz w:val="20"/>
          <w:szCs w:val="20"/>
        </w:rPr>
        <w:t>Surety companies shall apply for GTSB in the port where the goods are discharged and shall only be used at the port it was applied for.</w:t>
      </w:r>
    </w:p>
    <w:p w14:paraId="45F3DB23" w14:textId="77777777" w:rsidR="001C5772" w:rsidRPr="00BE736B" w:rsidRDefault="001C5772" w:rsidP="001C5772">
      <w:pPr>
        <w:pStyle w:val="ListParagraph"/>
        <w:numPr>
          <w:ilvl w:val="1"/>
          <w:numId w:val="13"/>
        </w:numPr>
        <w:spacing w:after="0" w:line="240" w:lineRule="auto"/>
        <w:jc w:val="both"/>
        <w:rPr>
          <w:rFonts w:ascii="Calibri" w:hAnsi="Calibri" w:cs="Calibri"/>
          <w:sz w:val="20"/>
          <w:szCs w:val="20"/>
        </w:rPr>
      </w:pPr>
      <w:r w:rsidRPr="00BE736B">
        <w:rPr>
          <w:rFonts w:ascii="Calibri" w:hAnsi="Calibri" w:cs="Calibri"/>
          <w:sz w:val="20"/>
          <w:szCs w:val="20"/>
        </w:rPr>
        <w:t xml:space="preserve">Approved Transit bond policy can be applied to multiple electronically lodged goods declaration of the importer </w:t>
      </w:r>
      <w:proofErr w:type="gramStart"/>
      <w:r w:rsidRPr="00BE736B">
        <w:rPr>
          <w:rFonts w:ascii="Calibri" w:hAnsi="Calibri" w:cs="Calibri"/>
          <w:sz w:val="20"/>
          <w:szCs w:val="20"/>
        </w:rPr>
        <w:t>as long as</w:t>
      </w:r>
      <w:proofErr w:type="gramEnd"/>
      <w:r w:rsidRPr="00BE736B">
        <w:rPr>
          <w:rFonts w:ascii="Calibri" w:hAnsi="Calibri" w:cs="Calibri"/>
          <w:sz w:val="20"/>
          <w:szCs w:val="20"/>
        </w:rPr>
        <w:t xml:space="preserve"> the policy bond has sufficient funds or available amount.</w:t>
      </w:r>
    </w:p>
    <w:p w14:paraId="372ABAD0" w14:textId="77777777" w:rsidR="001C5772" w:rsidRPr="00BE736B" w:rsidRDefault="001C5772" w:rsidP="001C5772">
      <w:pPr>
        <w:pStyle w:val="ListParagraph"/>
        <w:numPr>
          <w:ilvl w:val="1"/>
          <w:numId w:val="13"/>
        </w:numPr>
        <w:spacing w:after="0" w:line="240" w:lineRule="auto"/>
        <w:jc w:val="both"/>
        <w:rPr>
          <w:rFonts w:ascii="Calibri" w:hAnsi="Calibri" w:cs="Calibri"/>
          <w:sz w:val="20"/>
          <w:szCs w:val="20"/>
        </w:rPr>
      </w:pPr>
      <w:r w:rsidRPr="00BE736B">
        <w:rPr>
          <w:rFonts w:ascii="Calibri" w:hAnsi="Calibri" w:cs="Calibri"/>
          <w:sz w:val="20"/>
          <w:szCs w:val="20"/>
        </w:rPr>
        <w:lastRenderedPageBreak/>
        <w:t>Only the approved bond policy can be used on the Terms of Payment upon filing of the Transit Single Administrative Document (TSAD) in the E2M system and Bond Credit as payment instrument (payment code 52) shall be used. Upon registration of the TSAD, the ABMS shall change the status of the bond policy to CHARGED if there is available fund balance.</w:t>
      </w:r>
    </w:p>
    <w:p w14:paraId="7D4D8305" w14:textId="77777777" w:rsidR="001C5772" w:rsidRPr="00BE736B" w:rsidRDefault="001C5772" w:rsidP="001C5772">
      <w:pPr>
        <w:pStyle w:val="ListParagraph"/>
        <w:numPr>
          <w:ilvl w:val="1"/>
          <w:numId w:val="13"/>
        </w:numPr>
        <w:spacing w:after="0" w:line="240" w:lineRule="auto"/>
        <w:jc w:val="both"/>
        <w:rPr>
          <w:rFonts w:ascii="Calibri" w:hAnsi="Calibri" w:cs="Calibri"/>
          <w:sz w:val="20"/>
          <w:szCs w:val="20"/>
        </w:rPr>
      </w:pPr>
      <w:r w:rsidRPr="00BE736B">
        <w:rPr>
          <w:rFonts w:ascii="Calibri" w:hAnsi="Calibri" w:cs="Calibri"/>
          <w:sz w:val="20"/>
          <w:szCs w:val="20"/>
        </w:rPr>
        <w:t xml:space="preserve">All Transit shipments transferred to Free Zones from the port of discharge must be </w:t>
      </w:r>
      <w:r w:rsidRPr="00BE736B">
        <w:rPr>
          <w:rFonts w:ascii="Calibri" w:hAnsi="Calibri" w:cs="Calibri"/>
          <w:i/>
          <w:iCs/>
          <w:sz w:val="20"/>
          <w:szCs w:val="20"/>
        </w:rPr>
        <w:t>Tagged Arrived</w:t>
      </w:r>
      <w:r w:rsidRPr="00BE736B">
        <w:rPr>
          <w:rFonts w:ascii="Calibri" w:hAnsi="Calibri" w:cs="Calibri"/>
          <w:sz w:val="20"/>
          <w:szCs w:val="20"/>
        </w:rPr>
        <w:t xml:space="preserve"> in the E2M Transit System.</w:t>
      </w:r>
    </w:p>
    <w:p w14:paraId="21A83F45" w14:textId="77777777" w:rsidR="001C5772" w:rsidRPr="00BE736B" w:rsidRDefault="001C5772" w:rsidP="001C5772">
      <w:pPr>
        <w:pStyle w:val="ListParagraph"/>
        <w:numPr>
          <w:ilvl w:val="1"/>
          <w:numId w:val="13"/>
        </w:numPr>
        <w:spacing w:after="0" w:line="240" w:lineRule="auto"/>
        <w:jc w:val="both"/>
        <w:rPr>
          <w:rFonts w:ascii="Calibri" w:hAnsi="Calibri" w:cs="Calibri"/>
          <w:sz w:val="20"/>
          <w:szCs w:val="20"/>
        </w:rPr>
      </w:pPr>
      <w:r w:rsidRPr="00BE736B">
        <w:rPr>
          <w:rFonts w:ascii="Calibri" w:hAnsi="Calibri" w:cs="Calibri"/>
          <w:sz w:val="20"/>
          <w:szCs w:val="20"/>
        </w:rPr>
        <w:t xml:space="preserve">Once the TSAD is </w:t>
      </w:r>
      <w:r w:rsidRPr="00BE736B">
        <w:rPr>
          <w:rFonts w:ascii="Calibri" w:hAnsi="Calibri" w:cs="Calibri"/>
          <w:i/>
          <w:iCs/>
          <w:sz w:val="20"/>
          <w:szCs w:val="20"/>
        </w:rPr>
        <w:t>Tagged Arrived</w:t>
      </w:r>
      <w:r w:rsidRPr="00BE736B">
        <w:rPr>
          <w:rFonts w:ascii="Calibri" w:hAnsi="Calibri" w:cs="Calibri"/>
          <w:sz w:val="20"/>
          <w:szCs w:val="20"/>
        </w:rPr>
        <w:t xml:space="preserve"> by the authorized Customs Officer at the port of destination, the ABMS shall automatically revert the amount charged to the original bond balance.</w:t>
      </w:r>
    </w:p>
    <w:p w14:paraId="4E8FF5A2" w14:textId="77777777" w:rsidR="001C5772" w:rsidRPr="00BE736B" w:rsidRDefault="001C5772" w:rsidP="001C5772">
      <w:pPr>
        <w:pStyle w:val="ListParagraph"/>
        <w:numPr>
          <w:ilvl w:val="1"/>
          <w:numId w:val="13"/>
        </w:numPr>
        <w:spacing w:after="0" w:line="240" w:lineRule="auto"/>
        <w:jc w:val="both"/>
        <w:rPr>
          <w:rFonts w:ascii="Calibri" w:hAnsi="Calibri" w:cs="Calibri"/>
          <w:sz w:val="20"/>
          <w:szCs w:val="20"/>
        </w:rPr>
      </w:pPr>
      <w:r w:rsidRPr="00BE736B">
        <w:rPr>
          <w:rFonts w:ascii="Calibri" w:hAnsi="Calibri" w:cs="Calibri"/>
          <w:sz w:val="20"/>
          <w:szCs w:val="20"/>
        </w:rPr>
        <w:t>The failure of the importer to cause the timely arrival of the GTSB-secured containers at the designated destination without valid reason shall be a sufficient ground for the forfeiture of the bond.</w:t>
      </w:r>
    </w:p>
    <w:p w14:paraId="03CF3134" w14:textId="77777777" w:rsidR="001C5772" w:rsidRPr="00BE736B" w:rsidRDefault="001C5772" w:rsidP="001C5772">
      <w:pPr>
        <w:pStyle w:val="ListParagraph"/>
        <w:spacing w:after="0" w:line="240" w:lineRule="auto"/>
        <w:rPr>
          <w:rFonts w:ascii="Calibri" w:hAnsi="Calibri" w:cs="Calibri"/>
          <w:sz w:val="20"/>
          <w:szCs w:val="20"/>
        </w:rPr>
      </w:pPr>
    </w:p>
    <w:p w14:paraId="3E9F5A34" w14:textId="77777777" w:rsidR="001C5772" w:rsidRPr="00BE736B" w:rsidRDefault="001C5772" w:rsidP="001C5772">
      <w:pPr>
        <w:pStyle w:val="ListParagraph"/>
        <w:numPr>
          <w:ilvl w:val="0"/>
          <w:numId w:val="13"/>
        </w:numPr>
        <w:spacing w:after="0" w:line="240" w:lineRule="auto"/>
        <w:jc w:val="both"/>
        <w:rPr>
          <w:rFonts w:ascii="Calibri" w:hAnsi="Calibri" w:cs="Calibri"/>
          <w:sz w:val="20"/>
          <w:szCs w:val="20"/>
        </w:rPr>
      </w:pPr>
      <w:r w:rsidRPr="00BE736B">
        <w:rPr>
          <w:rFonts w:ascii="Calibri" w:hAnsi="Calibri" w:cs="Calibri"/>
          <w:sz w:val="20"/>
          <w:szCs w:val="20"/>
        </w:rPr>
        <w:t>CMO No. 30-2020 shall take effect 15 days after its complete publication in the Official Gazette or newspaper of general circulation.</w:t>
      </w:r>
    </w:p>
    <w:p w14:paraId="02544D38" w14:textId="77777777" w:rsidR="001C5772" w:rsidRPr="00BE736B" w:rsidRDefault="001C5772" w:rsidP="001C5772">
      <w:pPr>
        <w:spacing w:after="0" w:line="240" w:lineRule="auto"/>
        <w:jc w:val="both"/>
        <w:rPr>
          <w:rFonts w:ascii="Calibri" w:hAnsi="Calibri" w:cs="Calibri"/>
          <w:i/>
          <w:iCs/>
          <w:sz w:val="20"/>
          <w:szCs w:val="20"/>
        </w:rPr>
      </w:pPr>
    </w:p>
    <w:p w14:paraId="77230607"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i/>
          <w:iCs/>
          <w:sz w:val="20"/>
          <w:szCs w:val="20"/>
        </w:rPr>
        <w:t>(Editor’s Note: CMO No. 30-2020 was published on January 13, 2021 in The Manila Times, p. A7)</w:t>
      </w:r>
    </w:p>
    <w:p w14:paraId="15AB2C97" w14:textId="77777777" w:rsidR="001C5772" w:rsidRPr="00BE736B" w:rsidRDefault="001C5772" w:rsidP="001C5772">
      <w:pPr>
        <w:spacing w:after="0" w:line="240" w:lineRule="auto"/>
        <w:rPr>
          <w:rFonts w:ascii="Calibri" w:hAnsi="Calibri" w:cs="Calibri"/>
          <w:sz w:val="20"/>
          <w:szCs w:val="20"/>
        </w:rPr>
      </w:pPr>
    </w:p>
    <w:p w14:paraId="62DA5294" w14:textId="77777777" w:rsidR="001C5772" w:rsidRPr="00BE736B" w:rsidRDefault="001C5772" w:rsidP="001C5772">
      <w:pPr>
        <w:rPr>
          <w:rFonts w:ascii="Calibri" w:hAnsi="Calibri" w:cs="Calibri"/>
          <w:b/>
          <w:bCs/>
          <w:sz w:val="32"/>
          <w:szCs w:val="32"/>
        </w:rPr>
      </w:pPr>
      <w:r w:rsidRPr="00BE736B">
        <w:rPr>
          <w:rFonts w:ascii="Calibri" w:hAnsi="Calibri" w:cs="Calibri"/>
          <w:b/>
          <w:bCs/>
          <w:sz w:val="32"/>
          <w:szCs w:val="32"/>
        </w:rPr>
        <w:t xml:space="preserve">BOI </w:t>
      </w:r>
      <w:r>
        <w:rPr>
          <w:rFonts w:ascii="Calibri" w:hAnsi="Calibri" w:cs="Calibri"/>
          <w:b/>
          <w:bCs/>
          <w:sz w:val="32"/>
          <w:szCs w:val="32"/>
        </w:rPr>
        <w:t>and</w:t>
      </w:r>
      <w:r w:rsidRPr="00BE736B">
        <w:rPr>
          <w:rFonts w:ascii="Calibri" w:hAnsi="Calibri" w:cs="Calibri"/>
          <w:b/>
          <w:bCs/>
          <w:sz w:val="32"/>
          <w:szCs w:val="32"/>
        </w:rPr>
        <w:t xml:space="preserve"> PEZA</w:t>
      </w:r>
      <w:r>
        <w:rPr>
          <w:rFonts w:ascii="Calibri" w:hAnsi="Calibri" w:cs="Calibri"/>
          <w:b/>
          <w:bCs/>
          <w:sz w:val="32"/>
          <w:szCs w:val="32"/>
        </w:rPr>
        <w:t xml:space="preserve"> Issuances</w:t>
      </w:r>
    </w:p>
    <w:p w14:paraId="6C9EDAAB" w14:textId="77777777" w:rsidR="001C5772" w:rsidRPr="00BE736B" w:rsidRDefault="001C5772" w:rsidP="001C5772">
      <w:pPr>
        <w:rPr>
          <w:rFonts w:ascii="Calibri" w:hAnsi="Calibri" w:cs="Calibri"/>
          <w:b/>
          <w:bCs/>
          <w:sz w:val="20"/>
          <w:szCs w:val="20"/>
        </w:rPr>
      </w:pPr>
      <w:r w:rsidRPr="00BE736B">
        <w:rPr>
          <w:rFonts w:ascii="Calibri" w:hAnsi="Calibri" w:cs="Calibri"/>
          <w:b/>
          <w:bCs/>
          <w:sz w:val="20"/>
          <w:szCs w:val="20"/>
        </w:rPr>
        <w:t xml:space="preserve">BOI </w:t>
      </w:r>
    </w:p>
    <w:p w14:paraId="2537C955" w14:textId="77777777" w:rsidR="001C5772" w:rsidRPr="00BE736B" w:rsidRDefault="001C5772" w:rsidP="001C5772">
      <w:pPr>
        <w:jc w:val="both"/>
        <w:rPr>
          <w:rFonts w:ascii="Calibri" w:hAnsi="Calibri" w:cs="Calibri"/>
          <w:sz w:val="20"/>
          <w:szCs w:val="20"/>
        </w:rPr>
      </w:pPr>
      <w:r w:rsidRPr="00BE736B">
        <w:rPr>
          <w:rFonts w:ascii="Calibri" w:hAnsi="Calibri" w:cs="Calibri"/>
          <w:b/>
          <w:bCs/>
          <w:sz w:val="20"/>
          <w:szCs w:val="20"/>
        </w:rPr>
        <w:t xml:space="preserve">BOI MEMORANDUM CIRCULAR (MC) NO. 2020-011 dated October 15, 2020 </w:t>
      </w:r>
      <w:r w:rsidRPr="00BE736B">
        <w:rPr>
          <w:rFonts w:ascii="Calibri" w:hAnsi="Calibri" w:cs="Calibri"/>
          <w:sz w:val="20"/>
          <w:szCs w:val="20"/>
        </w:rPr>
        <w:t>(posted on the BOI website on January 6, 2021) -extends compliance of BOI-registered enterprises with the terms and conditions of their BOI-registered projects for one year subject to terms and conditions.</w:t>
      </w:r>
    </w:p>
    <w:p w14:paraId="68339B6B" w14:textId="77777777" w:rsidR="001C5772" w:rsidRPr="00BE736B" w:rsidRDefault="001C5772" w:rsidP="001C5772">
      <w:pPr>
        <w:rPr>
          <w:rFonts w:ascii="Calibri" w:hAnsi="Calibri" w:cs="Calibri"/>
          <w:b/>
          <w:bCs/>
          <w:sz w:val="20"/>
          <w:szCs w:val="20"/>
        </w:rPr>
      </w:pPr>
      <w:r w:rsidRPr="00BE736B">
        <w:rPr>
          <w:rFonts w:ascii="Calibri" w:hAnsi="Calibri" w:cs="Calibri"/>
          <w:b/>
          <w:bCs/>
          <w:sz w:val="20"/>
          <w:szCs w:val="20"/>
        </w:rPr>
        <w:t xml:space="preserve">PEZA </w:t>
      </w:r>
    </w:p>
    <w:p w14:paraId="1EDE3409" w14:textId="77777777" w:rsidR="001C5772" w:rsidRPr="00BE736B" w:rsidRDefault="001C5772" w:rsidP="001C5772">
      <w:pPr>
        <w:jc w:val="both"/>
        <w:rPr>
          <w:rFonts w:ascii="Calibri" w:hAnsi="Calibri" w:cs="Calibri"/>
          <w:sz w:val="20"/>
          <w:szCs w:val="20"/>
        </w:rPr>
      </w:pPr>
      <w:r w:rsidRPr="00BE736B">
        <w:rPr>
          <w:rFonts w:ascii="Calibri" w:hAnsi="Calibri" w:cs="Calibri"/>
          <w:b/>
          <w:bCs/>
          <w:sz w:val="20"/>
          <w:szCs w:val="20"/>
        </w:rPr>
        <w:t xml:space="preserve">PEZA MEMORANDUM CIRCULAR (MC) NO. 2021-04 dated January 8, 201- </w:t>
      </w:r>
      <w:r w:rsidRPr="00BE736B">
        <w:rPr>
          <w:rFonts w:ascii="Calibri" w:hAnsi="Calibri" w:cs="Calibri"/>
          <w:sz w:val="20"/>
          <w:szCs w:val="20"/>
        </w:rPr>
        <w:t>extends MC No. 2020-011 Entitled "PEZA Assistance to Ecozone I.T. Enterprises in Responding to COVID-19 (Corona Virus Disease)" until September 12, 2021 such that no prior LOA is required for the movement of I.T. equipment and other assets of Ecozone I.T. Enterprises from their PEZA-registered I.T. Center facilities. However, prior to the movement/withdrawal of I.T. equipment and other assets from their PEZA-registered I.T. Center facilities, certain documentary requirements shall be submitted and surety bond be deposited by the Ecozone I.T. Enterprise to the office of the PEZA Zone Manager of the PEZA I.T. Center where the I.T. equipment and other assets are located.</w:t>
      </w:r>
    </w:p>
    <w:p w14:paraId="4D7F00C8" w14:textId="77777777" w:rsidR="001C5772" w:rsidRPr="00BE736B" w:rsidRDefault="001C5772" w:rsidP="001C5772">
      <w:pPr>
        <w:pStyle w:val="xmsonormal"/>
        <w:rPr>
          <w:sz w:val="20"/>
          <w:szCs w:val="20"/>
        </w:rPr>
      </w:pPr>
    </w:p>
    <w:p w14:paraId="1C4DC563" w14:textId="77777777" w:rsidR="001C5772" w:rsidRPr="00BE736B" w:rsidRDefault="001C5772" w:rsidP="001C5772">
      <w:pPr>
        <w:rPr>
          <w:rFonts w:ascii="Calibri" w:hAnsi="Calibri" w:cs="Calibri"/>
          <w:b/>
          <w:bCs/>
          <w:sz w:val="32"/>
          <w:szCs w:val="32"/>
        </w:rPr>
      </w:pPr>
      <w:proofErr w:type="spellStart"/>
      <w:r w:rsidRPr="00BE736B">
        <w:rPr>
          <w:rFonts w:ascii="Calibri" w:hAnsi="Calibri" w:cs="Calibri"/>
          <w:b/>
          <w:bCs/>
          <w:sz w:val="32"/>
          <w:szCs w:val="32"/>
        </w:rPr>
        <w:t>Bangko</w:t>
      </w:r>
      <w:proofErr w:type="spellEnd"/>
      <w:r w:rsidRPr="00BE736B">
        <w:rPr>
          <w:rFonts w:ascii="Calibri" w:hAnsi="Calibri" w:cs="Calibri"/>
          <w:b/>
          <w:bCs/>
          <w:sz w:val="32"/>
          <w:szCs w:val="32"/>
        </w:rPr>
        <w:t xml:space="preserve"> </w:t>
      </w:r>
      <w:proofErr w:type="spellStart"/>
      <w:r w:rsidRPr="00BE736B">
        <w:rPr>
          <w:rFonts w:ascii="Calibri" w:hAnsi="Calibri" w:cs="Calibri"/>
          <w:b/>
          <w:bCs/>
          <w:sz w:val="32"/>
          <w:szCs w:val="32"/>
        </w:rPr>
        <w:t>Sentral</w:t>
      </w:r>
      <w:proofErr w:type="spellEnd"/>
      <w:r w:rsidRPr="00BE736B">
        <w:rPr>
          <w:rFonts w:ascii="Calibri" w:hAnsi="Calibri" w:cs="Calibri"/>
          <w:b/>
          <w:bCs/>
          <w:sz w:val="32"/>
          <w:szCs w:val="32"/>
        </w:rPr>
        <w:t xml:space="preserve"> ng </w:t>
      </w:r>
      <w:proofErr w:type="spellStart"/>
      <w:r w:rsidRPr="00BE736B">
        <w:rPr>
          <w:rFonts w:ascii="Calibri" w:hAnsi="Calibri" w:cs="Calibri"/>
          <w:b/>
          <w:bCs/>
          <w:sz w:val="32"/>
          <w:szCs w:val="32"/>
        </w:rPr>
        <w:t>Pilipinas</w:t>
      </w:r>
      <w:proofErr w:type="spellEnd"/>
      <w:r w:rsidRPr="00BE736B">
        <w:rPr>
          <w:rFonts w:ascii="Calibri" w:hAnsi="Calibri" w:cs="Calibri"/>
          <w:b/>
          <w:bCs/>
          <w:sz w:val="32"/>
          <w:szCs w:val="32"/>
        </w:rPr>
        <w:t xml:space="preserve"> Issuances</w:t>
      </w:r>
    </w:p>
    <w:p w14:paraId="6E9A1A70" w14:textId="77777777" w:rsidR="001C5772" w:rsidRPr="00BC3DD6" w:rsidRDefault="001C5772" w:rsidP="001C5772">
      <w:pPr>
        <w:spacing w:after="0" w:line="240" w:lineRule="auto"/>
        <w:jc w:val="both"/>
        <w:rPr>
          <w:rFonts w:ascii="Calibri" w:hAnsi="Calibri" w:cs="Calibri"/>
          <w:sz w:val="20"/>
          <w:szCs w:val="20"/>
        </w:rPr>
      </w:pPr>
    </w:p>
    <w:p w14:paraId="28F532B9" w14:textId="77777777" w:rsidR="001C5772"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 xml:space="preserve">Circular No. 1106 Restructured Service Fees for Bank’s Deposit and Withdrawal Transactions </w:t>
      </w:r>
    </w:p>
    <w:p w14:paraId="61A7BCBF"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December 23, 2020</w:t>
      </w:r>
    </w:p>
    <w:p w14:paraId="7B00C78C" w14:textId="77777777" w:rsidR="001C5772" w:rsidRPr="00BC3DD6" w:rsidRDefault="001C5772" w:rsidP="001C5772">
      <w:pPr>
        <w:spacing w:after="0" w:line="240" w:lineRule="auto"/>
        <w:jc w:val="both"/>
        <w:rPr>
          <w:rFonts w:ascii="Calibri" w:hAnsi="Calibri" w:cs="Calibri"/>
          <w:sz w:val="20"/>
          <w:szCs w:val="20"/>
        </w:rPr>
      </w:pPr>
    </w:p>
    <w:p w14:paraId="67F42FBB" w14:textId="77777777" w:rsidR="001C5772" w:rsidRPr="00BC3DD6" w:rsidRDefault="001C5772" w:rsidP="001C5772">
      <w:pPr>
        <w:spacing w:after="0" w:line="240" w:lineRule="auto"/>
        <w:jc w:val="both"/>
        <w:rPr>
          <w:rFonts w:ascii="Calibri" w:hAnsi="Calibri" w:cs="Calibri"/>
          <w:i/>
          <w:iCs/>
          <w:sz w:val="20"/>
          <w:szCs w:val="20"/>
        </w:rPr>
      </w:pPr>
      <w:r w:rsidRPr="00BC3DD6">
        <w:rPr>
          <w:rFonts w:ascii="Calibri" w:hAnsi="Calibri" w:cs="Calibri"/>
          <w:i/>
          <w:iCs/>
          <w:sz w:val="20"/>
          <w:szCs w:val="20"/>
        </w:rPr>
        <w:t>Circular No. 1106 provides for restructured service fees for Banks’ Deposit and withdrawal transactions.</w:t>
      </w:r>
    </w:p>
    <w:p w14:paraId="1DD80C1A" w14:textId="77777777" w:rsidR="001C5772" w:rsidRPr="00BC3DD6" w:rsidRDefault="001C5772" w:rsidP="001C5772">
      <w:pPr>
        <w:spacing w:after="0" w:line="240" w:lineRule="auto"/>
        <w:jc w:val="both"/>
        <w:rPr>
          <w:rFonts w:ascii="Calibri" w:hAnsi="Calibri" w:cs="Calibri"/>
          <w:sz w:val="20"/>
          <w:szCs w:val="20"/>
        </w:rPr>
      </w:pPr>
    </w:p>
    <w:p w14:paraId="0454FBE5"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Circular No. 1106 publishes Resolution No. 1658 dated 17 December 2020 approving</w:t>
      </w:r>
      <w:r w:rsidRPr="00BC3DD6">
        <w:rPr>
          <w:rFonts w:ascii="Calibri" w:hAnsi="Calibri" w:cs="Calibri"/>
          <w:i/>
          <w:sz w:val="20"/>
          <w:szCs w:val="20"/>
        </w:rPr>
        <w:t xml:space="preserve"> </w:t>
      </w:r>
      <w:r w:rsidRPr="00BC3DD6">
        <w:rPr>
          <w:rFonts w:ascii="Calibri" w:hAnsi="Calibri" w:cs="Calibri"/>
          <w:sz w:val="20"/>
          <w:szCs w:val="20"/>
        </w:rPr>
        <w:t>the following amendments to the Manual of Regulations for Banks (MORB) and shall govern the transactions of banks with Cash Department (CD), Metro Manila Currency Operations Sub-Sector (MCOSS) and the Regional Offices and Branches, and Regional Operations Sub-Sector (ROSS):</w:t>
      </w:r>
    </w:p>
    <w:p w14:paraId="4B502761" w14:textId="77777777" w:rsidR="001C5772" w:rsidRPr="00BC3DD6" w:rsidRDefault="001C5772" w:rsidP="001C5772">
      <w:pPr>
        <w:spacing w:after="0" w:line="240" w:lineRule="auto"/>
        <w:jc w:val="both"/>
        <w:rPr>
          <w:rFonts w:ascii="Calibri" w:hAnsi="Calibri" w:cs="Calibri"/>
          <w:sz w:val="20"/>
          <w:szCs w:val="20"/>
        </w:rPr>
      </w:pPr>
    </w:p>
    <w:p w14:paraId="5D038E00" w14:textId="77777777" w:rsidR="001C5772" w:rsidRPr="00BC3DD6" w:rsidRDefault="001C5772" w:rsidP="001C5772">
      <w:pPr>
        <w:numPr>
          <w:ilvl w:val="0"/>
          <w:numId w:val="28"/>
        </w:numPr>
        <w:spacing w:after="0" w:line="240" w:lineRule="auto"/>
        <w:jc w:val="both"/>
        <w:rPr>
          <w:rFonts w:ascii="Calibri" w:hAnsi="Calibri" w:cs="Calibri"/>
          <w:sz w:val="20"/>
          <w:szCs w:val="20"/>
        </w:rPr>
      </w:pPr>
      <w:r w:rsidRPr="00BC3DD6">
        <w:rPr>
          <w:rFonts w:ascii="Calibri" w:hAnsi="Calibri" w:cs="Calibri"/>
          <w:sz w:val="20"/>
          <w:szCs w:val="20"/>
        </w:rPr>
        <w:t xml:space="preserve">Restructuring of service fees for banks’ deposit and withdrawal transactions with the </w:t>
      </w: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 xml:space="preserve">, </w:t>
      </w:r>
    </w:p>
    <w:p w14:paraId="6C6B8710" w14:textId="77777777" w:rsidR="001C5772" w:rsidRPr="00BC3DD6" w:rsidRDefault="001C5772" w:rsidP="001C5772">
      <w:pPr>
        <w:spacing w:after="0" w:line="240" w:lineRule="auto"/>
        <w:jc w:val="both"/>
        <w:rPr>
          <w:rFonts w:ascii="Calibri" w:hAnsi="Calibri" w:cs="Calibri"/>
          <w:sz w:val="20"/>
          <w:szCs w:val="20"/>
        </w:rPr>
      </w:pPr>
    </w:p>
    <w:p w14:paraId="742974AF"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noProof/>
          <w:sz w:val="20"/>
          <w:szCs w:val="20"/>
        </w:rPr>
        <w:lastRenderedPageBreak/>
        <w:drawing>
          <wp:inline distT="0" distB="0" distL="0" distR="0" wp14:anchorId="489EA1F4" wp14:editId="08B7FC3D">
            <wp:extent cx="3680460" cy="12225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173" t="35965" r="56166" b="46520"/>
                    <a:stretch/>
                  </pic:blipFill>
                  <pic:spPr bwMode="auto">
                    <a:xfrm>
                      <a:off x="0" y="0"/>
                      <a:ext cx="3700097" cy="1229057"/>
                    </a:xfrm>
                    <a:prstGeom prst="rect">
                      <a:avLst/>
                    </a:prstGeom>
                    <a:ln>
                      <a:noFill/>
                    </a:ln>
                    <a:extLst>
                      <a:ext uri="{53640926-AAD7-44D8-BBD7-CCE9431645EC}">
                        <a14:shadowObscured xmlns:a14="http://schemas.microsoft.com/office/drawing/2010/main"/>
                      </a:ext>
                    </a:extLst>
                  </pic:spPr>
                </pic:pic>
              </a:graphicData>
            </a:graphic>
          </wp:inline>
        </w:drawing>
      </w:r>
    </w:p>
    <w:p w14:paraId="756E51C9" w14:textId="77777777" w:rsidR="001C5772" w:rsidRPr="00BC3DD6" w:rsidRDefault="001C5772" w:rsidP="001C5772">
      <w:pPr>
        <w:spacing w:after="0" w:line="240" w:lineRule="auto"/>
        <w:jc w:val="both"/>
        <w:rPr>
          <w:rFonts w:ascii="Calibri" w:hAnsi="Calibri" w:cs="Calibri"/>
          <w:sz w:val="20"/>
          <w:szCs w:val="20"/>
        </w:rPr>
      </w:pPr>
    </w:p>
    <w:p w14:paraId="244481BC" w14:textId="77777777" w:rsidR="001C5772" w:rsidRPr="00BC3DD6" w:rsidRDefault="001C5772" w:rsidP="001C5772">
      <w:pPr>
        <w:numPr>
          <w:ilvl w:val="0"/>
          <w:numId w:val="28"/>
        </w:numPr>
        <w:spacing w:after="0" w:line="240" w:lineRule="auto"/>
        <w:jc w:val="both"/>
        <w:rPr>
          <w:rFonts w:ascii="Calibri" w:hAnsi="Calibri" w:cs="Calibri"/>
          <w:sz w:val="20"/>
          <w:szCs w:val="20"/>
        </w:rPr>
      </w:pPr>
      <w:r w:rsidRPr="00BC3DD6">
        <w:rPr>
          <w:rFonts w:ascii="Calibri" w:hAnsi="Calibri" w:cs="Calibri"/>
          <w:sz w:val="20"/>
          <w:szCs w:val="20"/>
        </w:rPr>
        <w:t xml:space="preserve">Reinstatement of the service fees on new and fit banknote withdrawals, </w:t>
      </w:r>
    </w:p>
    <w:p w14:paraId="7331CA8E" w14:textId="77777777" w:rsidR="001C5772" w:rsidRPr="00BC3DD6" w:rsidRDefault="001C5772" w:rsidP="001C5772">
      <w:pPr>
        <w:spacing w:after="0" w:line="240" w:lineRule="auto"/>
        <w:jc w:val="both"/>
        <w:rPr>
          <w:rFonts w:ascii="Calibri" w:hAnsi="Calibri" w:cs="Calibri"/>
          <w:sz w:val="20"/>
          <w:szCs w:val="20"/>
        </w:rPr>
      </w:pPr>
    </w:p>
    <w:p w14:paraId="5834B1CE"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noProof/>
          <w:sz w:val="20"/>
          <w:szCs w:val="20"/>
        </w:rPr>
        <w:drawing>
          <wp:inline distT="0" distB="0" distL="0" distR="0" wp14:anchorId="15546789" wp14:editId="6214AF29">
            <wp:extent cx="2816699" cy="14173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74" t="41709" r="65898" b="40285"/>
                    <a:stretch/>
                  </pic:blipFill>
                  <pic:spPr bwMode="auto">
                    <a:xfrm>
                      <a:off x="0" y="0"/>
                      <a:ext cx="2842216" cy="1430160"/>
                    </a:xfrm>
                    <a:prstGeom prst="rect">
                      <a:avLst/>
                    </a:prstGeom>
                    <a:ln>
                      <a:noFill/>
                    </a:ln>
                    <a:extLst>
                      <a:ext uri="{53640926-AAD7-44D8-BBD7-CCE9431645EC}">
                        <a14:shadowObscured xmlns:a14="http://schemas.microsoft.com/office/drawing/2010/main"/>
                      </a:ext>
                    </a:extLst>
                  </pic:spPr>
                </pic:pic>
              </a:graphicData>
            </a:graphic>
          </wp:inline>
        </w:drawing>
      </w:r>
    </w:p>
    <w:p w14:paraId="78960E5D" w14:textId="77777777" w:rsidR="001C5772" w:rsidRPr="00BC3DD6" w:rsidRDefault="001C5772" w:rsidP="001C5772">
      <w:pPr>
        <w:numPr>
          <w:ilvl w:val="0"/>
          <w:numId w:val="28"/>
        </w:numPr>
        <w:spacing w:after="0" w:line="240" w:lineRule="auto"/>
        <w:jc w:val="both"/>
        <w:rPr>
          <w:rFonts w:ascii="Calibri" w:hAnsi="Calibri" w:cs="Calibri"/>
          <w:sz w:val="20"/>
          <w:szCs w:val="20"/>
        </w:rPr>
      </w:pPr>
      <w:r w:rsidRPr="00BC3DD6">
        <w:rPr>
          <w:rFonts w:ascii="Calibri" w:hAnsi="Calibri" w:cs="Calibri"/>
          <w:sz w:val="20"/>
          <w:szCs w:val="20"/>
        </w:rPr>
        <w:t>Provision of rebates, refunds, and incentives for unfit banknote deposits which banks may avail within 3 years:</w:t>
      </w:r>
    </w:p>
    <w:p w14:paraId="2FB20085" w14:textId="77777777" w:rsidR="001C5772" w:rsidRPr="00BC3DD6" w:rsidRDefault="001C5772" w:rsidP="001C5772">
      <w:pPr>
        <w:spacing w:after="0" w:line="240" w:lineRule="auto"/>
        <w:jc w:val="both"/>
        <w:rPr>
          <w:rFonts w:ascii="Calibri" w:hAnsi="Calibri" w:cs="Calibri"/>
          <w:sz w:val="20"/>
          <w:szCs w:val="20"/>
        </w:rPr>
      </w:pPr>
    </w:p>
    <w:p w14:paraId="5ACAB62C"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noProof/>
          <w:sz w:val="20"/>
          <w:szCs w:val="20"/>
        </w:rPr>
        <w:drawing>
          <wp:inline distT="0" distB="0" distL="0" distR="0" wp14:anchorId="4E90A12B" wp14:editId="1D83D054">
            <wp:extent cx="3376471" cy="1356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846" t="34644" r="56154" b="43932"/>
                    <a:stretch/>
                  </pic:blipFill>
                  <pic:spPr bwMode="auto">
                    <a:xfrm>
                      <a:off x="0" y="0"/>
                      <a:ext cx="3387030" cy="1360601"/>
                    </a:xfrm>
                    <a:prstGeom prst="rect">
                      <a:avLst/>
                    </a:prstGeom>
                    <a:ln>
                      <a:noFill/>
                    </a:ln>
                    <a:extLst>
                      <a:ext uri="{53640926-AAD7-44D8-BBD7-CCE9431645EC}">
                        <a14:shadowObscured xmlns:a14="http://schemas.microsoft.com/office/drawing/2010/main"/>
                      </a:ext>
                    </a:extLst>
                  </pic:spPr>
                </pic:pic>
              </a:graphicData>
            </a:graphic>
          </wp:inline>
        </w:drawing>
      </w:r>
    </w:p>
    <w:p w14:paraId="2DBB973E"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 </w:t>
      </w:r>
    </w:p>
    <w:p w14:paraId="10A5F686" w14:textId="77777777" w:rsidR="001C5772" w:rsidRPr="00BC3DD6" w:rsidRDefault="001C5772" w:rsidP="001C5772">
      <w:pPr>
        <w:numPr>
          <w:ilvl w:val="0"/>
          <w:numId w:val="28"/>
        </w:numPr>
        <w:spacing w:after="0" w:line="240" w:lineRule="auto"/>
        <w:jc w:val="both"/>
        <w:rPr>
          <w:rFonts w:ascii="Calibri" w:hAnsi="Calibri" w:cs="Calibri"/>
          <w:sz w:val="20"/>
          <w:szCs w:val="20"/>
        </w:rPr>
      </w:pPr>
      <w:r w:rsidRPr="00BC3DD6">
        <w:rPr>
          <w:rFonts w:ascii="Calibri" w:hAnsi="Calibri" w:cs="Calibri"/>
          <w:sz w:val="20"/>
          <w:szCs w:val="20"/>
        </w:rPr>
        <w:t>imposition of PHP 5,000 penalty for every cancelled withdrawal transaction.</w:t>
      </w:r>
    </w:p>
    <w:p w14:paraId="49EF33B8" w14:textId="77777777" w:rsidR="001C5772" w:rsidRPr="00BC3DD6" w:rsidRDefault="001C5772" w:rsidP="001C5772">
      <w:pPr>
        <w:spacing w:after="0" w:line="240" w:lineRule="auto"/>
        <w:jc w:val="both"/>
        <w:rPr>
          <w:rFonts w:ascii="Calibri" w:hAnsi="Calibri" w:cs="Calibri"/>
          <w:sz w:val="20"/>
          <w:szCs w:val="20"/>
        </w:rPr>
      </w:pPr>
    </w:p>
    <w:p w14:paraId="789FE6CB" w14:textId="77777777" w:rsidR="001C5772"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 xml:space="preserve">Circular No. 1107 Prudential Requirements for Designated Clearing and Settlement Banks </w:t>
      </w:r>
    </w:p>
    <w:p w14:paraId="2965E87E"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December 23, 2020</w:t>
      </w:r>
    </w:p>
    <w:p w14:paraId="4594EF3B" w14:textId="77777777" w:rsidR="001C5772" w:rsidRPr="00BC3DD6" w:rsidRDefault="001C5772" w:rsidP="001C5772">
      <w:pPr>
        <w:spacing w:after="0" w:line="240" w:lineRule="auto"/>
        <w:jc w:val="both"/>
        <w:rPr>
          <w:rFonts w:ascii="Calibri" w:hAnsi="Calibri" w:cs="Calibri"/>
          <w:sz w:val="20"/>
          <w:szCs w:val="20"/>
        </w:rPr>
      </w:pPr>
    </w:p>
    <w:p w14:paraId="7DAA92E1" w14:textId="77777777" w:rsidR="001C5772" w:rsidRPr="00BC3DD6" w:rsidRDefault="001C5772" w:rsidP="001C5772">
      <w:pPr>
        <w:spacing w:after="0" w:line="240" w:lineRule="auto"/>
        <w:jc w:val="both"/>
        <w:rPr>
          <w:rFonts w:ascii="Calibri" w:hAnsi="Calibri" w:cs="Calibri"/>
          <w:i/>
          <w:iCs/>
          <w:sz w:val="20"/>
          <w:szCs w:val="20"/>
        </w:rPr>
      </w:pPr>
      <w:r w:rsidRPr="00BC3DD6">
        <w:rPr>
          <w:rFonts w:ascii="Calibri" w:hAnsi="Calibri" w:cs="Calibri"/>
          <w:i/>
          <w:iCs/>
          <w:sz w:val="20"/>
          <w:szCs w:val="20"/>
        </w:rPr>
        <w:t>Circular No. 1107 provides prudential requirements for designated clearing and settlement banks.</w:t>
      </w:r>
    </w:p>
    <w:p w14:paraId="13D1C9E3" w14:textId="77777777" w:rsidR="001C5772" w:rsidRPr="00BC3DD6" w:rsidRDefault="001C5772" w:rsidP="001C5772">
      <w:pPr>
        <w:spacing w:after="0" w:line="240" w:lineRule="auto"/>
        <w:jc w:val="both"/>
        <w:rPr>
          <w:rFonts w:ascii="Calibri" w:hAnsi="Calibri" w:cs="Calibri"/>
          <w:sz w:val="20"/>
          <w:szCs w:val="20"/>
        </w:rPr>
      </w:pPr>
    </w:p>
    <w:p w14:paraId="723ABE96"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Circular No. 1107 publishes Resolution No. 1606 dated 10 December 2020 approving</w:t>
      </w:r>
      <w:r w:rsidRPr="00BC3DD6">
        <w:rPr>
          <w:rFonts w:ascii="Calibri" w:hAnsi="Calibri" w:cs="Calibri"/>
          <w:i/>
          <w:sz w:val="20"/>
          <w:szCs w:val="20"/>
        </w:rPr>
        <w:t xml:space="preserve"> </w:t>
      </w:r>
      <w:r w:rsidRPr="00BC3DD6">
        <w:rPr>
          <w:rFonts w:ascii="Calibri" w:hAnsi="Calibri" w:cs="Calibri"/>
          <w:sz w:val="20"/>
          <w:szCs w:val="20"/>
        </w:rPr>
        <w:t>the prudential requirements for designated clearing and settlement banks for purposes of compliance with directors, officers, stockholders and their related interests (DOSRI) regulations, as well as foreign currency deposit unit (FCDU asset cover and minimum capital requirements.</w:t>
      </w:r>
    </w:p>
    <w:p w14:paraId="52AE7860" w14:textId="77777777" w:rsidR="001C5772" w:rsidRPr="00BC3DD6" w:rsidRDefault="001C5772" w:rsidP="001C5772">
      <w:pPr>
        <w:spacing w:after="0" w:line="240" w:lineRule="auto"/>
        <w:jc w:val="both"/>
        <w:rPr>
          <w:rFonts w:ascii="Calibri" w:hAnsi="Calibri" w:cs="Calibri"/>
          <w:sz w:val="20"/>
          <w:szCs w:val="20"/>
        </w:rPr>
      </w:pPr>
    </w:p>
    <w:p w14:paraId="0A4CECB2"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Transactions not covered now include (1) Interbank call loan transactions; and (2) Short-term exposures of designated clearing and settlement bank to other financial institutions that own or control directly or indirectly such clearing and settlement bank, pursuant to its function as designated clearing and settlement bank. </w:t>
      </w:r>
    </w:p>
    <w:p w14:paraId="442118C5" w14:textId="77777777" w:rsidR="001C5772" w:rsidRPr="00BC3DD6" w:rsidRDefault="001C5772" w:rsidP="001C5772">
      <w:pPr>
        <w:spacing w:after="0" w:line="240" w:lineRule="auto"/>
        <w:jc w:val="both"/>
        <w:rPr>
          <w:rFonts w:ascii="Calibri" w:hAnsi="Calibri" w:cs="Calibri"/>
          <w:sz w:val="20"/>
          <w:szCs w:val="20"/>
        </w:rPr>
      </w:pPr>
    </w:p>
    <w:p w14:paraId="44C00892"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As to capital requirements of foreign banks, any net due from head office, branches and subsidiaries outside the Philippines, excluding accumulated net earnings shall be deducted from capital. On the other hand, as to risk-based capital for foreign bank branch, any net due from head office, branches, and subsidiaries outside the Philippines excluding accumulated net earnings shall be deducted from CET1 capital.</w:t>
      </w:r>
    </w:p>
    <w:p w14:paraId="16159C10" w14:textId="77777777" w:rsidR="001C5772" w:rsidRPr="00BC3DD6" w:rsidRDefault="001C5772" w:rsidP="001C5772">
      <w:pPr>
        <w:spacing w:after="0" w:line="240" w:lineRule="auto"/>
        <w:jc w:val="both"/>
        <w:rPr>
          <w:rFonts w:ascii="Calibri" w:hAnsi="Calibri" w:cs="Calibri"/>
          <w:sz w:val="20"/>
          <w:szCs w:val="20"/>
        </w:rPr>
      </w:pPr>
    </w:p>
    <w:p w14:paraId="5610CF2E" w14:textId="77777777" w:rsidR="001C5772" w:rsidRPr="00BC3DD6" w:rsidRDefault="001C5772" w:rsidP="001C5772">
      <w:pPr>
        <w:spacing w:after="0" w:line="240" w:lineRule="auto"/>
        <w:jc w:val="both"/>
        <w:rPr>
          <w:rFonts w:ascii="Calibri" w:hAnsi="Calibri" w:cs="Calibri"/>
          <w:sz w:val="20"/>
          <w:szCs w:val="20"/>
        </w:rPr>
      </w:pPr>
    </w:p>
    <w:p w14:paraId="5DE8E87B"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Memorandum No. 093: Amendment to Memorandum M-2020-080 dated 9 October 2020 on the Electronic Submission of the EPFS Monthly Report Template</w:t>
      </w:r>
    </w:p>
    <w:p w14:paraId="4B2BAF8B"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December 16, 2020</w:t>
      </w:r>
    </w:p>
    <w:p w14:paraId="65FA40CF" w14:textId="77777777" w:rsidR="001C5772" w:rsidRPr="00BC3DD6" w:rsidRDefault="001C5772" w:rsidP="001C5772">
      <w:pPr>
        <w:spacing w:after="0" w:line="240" w:lineRule="auto"/>
        <w:jc w:val="both"/>
        <w:rPr>
          <w:rFonts w:ascii="Calibri" w:hAnsi="Calibri" w:cs="Calibri"/>
          <w:b/>
          <w:bCs/>
          <w:sz w:val="20"/>
          <w:szCs w:val="20"/>
        </w:rPr>
      </w:pPr>
    </w:p>
    <w:p w14:paraId="4C9532D2" w14:textId="77777777" w:rsidR="001C5772" w:rsidRPr="00BC3DD6" w:rsidRDefault="001C5772" w:rsidP="001C5772">
      <w:pPr>
        <w:spacing w:after="0" w:line="240" w:lineRule="auto"/>
        <w:jc w:val="both"/>
        <w:rPr>
          <w:rFonts w:ascii="Calibri" w:hAnsi="Calibri" w:cs="Calibri"/>
          <w:bCs/>
          <w:i/>
          <w:iCs/>
          <w:sz w:val="20"/>
          <w:szCs w:val="20"/>
        </w:rPr>
      </w:pPr>
      <w:r w:rsidRPr="00BC3DD6">
        <w:rPr>
          <w:rFonts w:ascii="Calibri" w:hAnsi="Calibri" w:cs="Calibri"/>
          <w:bCs/>
          <w:i/>
          <w:iCs/>
          <w:sz w:val="20"/>
          <w:szCs w:val="20"/>
        </w:rPr>
        <w:t xml:space="preserve">Memorandum No. 093 provides for </w:t>
      </w:r>
      <w:r w:rsidRPr="00BC3DD6">
        <w:rPr>
          <w:rFonts w:ascii="Calibri" w:hAnsi="Calibri" w:cs="Calibri"/>
          <w:bCs/>
          <w:i/>
          <w:sz w:val="20"/>
          <w:szCs w:val="20"/>
        </w:rPr>
        <w:t>amendment to Memorandum M-2020-080 dated 9 October 2020 on the Electronic Submission of the EPFS Monthly Report Template.</w:t>
      </w:r>
    </w:p>
    <w:p w14:paraId="12CB722A" w14:textId="77777777" w:rsidR="001C5772" w:rsidRPr="00BC3DD6" w:rsidRDefault="001C5772" w:rsidP="001C5772">
      <w:pPr>
        <w:spacing w:after="0" w:line="240" w:lineRule="auto"/>
        <w:jc w:val="both"/>
        <w:rPr>
          <w:rFonts w:ascii="Calibri" w:hAnsi="Calibri" w:cs="Calibri"/>
          <w:bCs/>
          <w:sz w:val="20"/>
          <w:szCs w:val="20"/>
        </w:rPr>
      </w:pPr>
    </w:p>
    <w:p w14:paraId="21E780DD" w14:textId="77777777" w:rsidR="001C5772" w:rsidRPr="00BC3DD6" w:rsidRDefault="001C5772" w:rsidP="001C5772">
      <w:pPr>
        <w:spacing w:after="0" w:line="240" w:lineRule="auto"/>
        <w:jc w:val="both"/>
        <w:rPr>
          <w:rFonts w:ascii="Calibri" w:hAnsi="Calibri" w:cs="Calibri"/>
          <w:bCs/>
          <w:sz w:val="20"/>
          <w:szCs w:val="20"/>
        </w:rPr>
      </w:pPr>
      <w:r w:rsidRPr="00BC3DD6">
        <w:rPr>
          <w:rFonts w:ascii="Calibri" w:hAnsi="Calibri" w:cs="Calibri"/>
          <w:bCs/>
          <w:sz w:val="20"/>
          <w:szCs w:val="20"/>
        </w:rPr>
        <w:t>All BSP Supervised Financial Institutions (BSFIs) shall observe the following revised process and deadline for the submission of the EPFS monthly report template covering the years 2018, 2019, and 2020:</w:t>
      </w:r>
    </w:p>
    <w:p w14:paraId="49475C53" w14:textId="77777777" w:rsidR="001C5772" w:rsidRPr="00BC3DD6" w:rsidRDefault="001C5772" w:rsidP="001C5772">
      <w:pPr>
        <w:spacing w:after="0" w:line="240" w:lineRule="auto"/>
        <w:jc w:val="both"/>
        <w:rPr>
          <w:rFonts w:ascii="Calibri" w:hAnsi="Calibri" w:cs="Calibri"/>
          <w:bCs/>
          <w:sz w:val="20"/>
          <w:szCs w:val="20"/>
        </w:rPr>
      </w:pPr>
    </w:p>
    <w:p w14:paraId="51ADC547" w14:textId="77777777" w:rsidR="001C5772" w:rsidRPr="00BC3DD6" w:rsidRDefault="001C5772" w:rsidP="001C5772">
      <w:pPr>
        <w:numPr>
          <w:ilvl w:val="0"/>
          <w:numId w:val="29"/>
        </w:numPr>
        <w:spacing w:after="0" w:line="240" w:lineRule="auto"/>
        <w:jc w:val="both"/>
        <w:rPr>
          <w:rFonts w:ascii="Calibri" w:hAnsi="Calibri" w:cs="Calibri"/>
          <w:bCs/>
          <w:sz w:val="20"/>
          <w:szCs w:val="20"/>
        </w:rPr>
      </w:pPr>
      <w:r w:rsidRPr="00BC3DD6">
        <w:rPr>
          <w:rFonts w:ascii="Calibri" w:hAnsi="Calibri" w:cs="Calibri"/>
          <w:bCs/>
          <w:sz w:val="20"/>
          <w:szCs w:val="20"/>
        </w:rPr>
        <w:t>The new deadline for the submission of the monthly report template for the years 2018, 2019 and 2020 shall be on or before 29 January 2021. There shall be a total of 14 email submissions, as detailed in the succeeding sections.</w:t>
      </w:r>
    </w:p>
    <w:p w14:paraId="12760891" w14:textId="77777777" w:rsidR="001C5772" w:rsidRPr="00BC3DD6" w:rsidRDefault="001C5772" w:rsidP="001C5772">
      <w:pPr>
        <w:spacing w:after="0" w:line="240" w:lineRule="auto"/>
        <w:jc w:val="both"/>
        <w:rPr>
          <w:rFonts w:ascii="Calibri" w:hAnsi="Calibri" w:cs="Calibri"/>
          <w:bCs/>
          <w:sz w:val="20"/>
          <w:szCs w:val="20"/>
        </w:rPr>
      </w:pPr>
    </w:p>
    <w:p w14:paraId="553358FF" w14:textId="77777777" w:rsidR="001C5772" w:rsidRPr="00BC3DD6" w:rsidRDefault="001C5772" w:rsidP="001C5772">
      <w:pPr>
        <w:numPr>
          <w:ilvl w:val="0"/>
          <w:numId w:val="29"/>
        </w:numPr>
        <w:spacing w:after="0" w:line="240" w:lineRule="auto"/>
        <w:jc w:val="both"/>
        <w:rPr>
          <w:rFonts w:ascii="Calibri" w:hAnsi="Calibri" w:cs="Calibri"/>
          <w:bCs/>
          <w:sz w:val="20"/>
          <w:szCs w:val="20"/>
        </w:rPr>
      </w:pPr>
      <w:r w:rsidRPr="00BC3DD6">
        <w:rPr>
          <w:rFonts w:ascii="Calibri" w:hAnsi="Calibri" w:cs="Calibri"/>
          <w:bCs/>
          <w:sz w:val="20"/>
          <w:szCs w:val="20"/>
        </w:rPr>
        <w:t xml:space="preserve">Only one report each covering the years 2018 and 2019, respectively, shall be submitted using the monthly report template. </w:t>
      </w:r>
      <w:r w:rsidRPr="00BC3DD6">
        <w:rPr>
          <w:rFonts w:ascii="Calibri" w:hAnsi="Calibri" w:cs="Calibri"/>
          <w:sz w:val="20"/>
          <w:szCs w:val="20"/>
        </w:rPr>
        <w:t xml:space="preserve">The submissions for 2018 and 2019 shall be considered as a December submission covering the cumulative transactions for that particular year and shall use the following subject line - </w:t>
      </w:r>
      <w:proofErr w:type="gramStart"/>
      <w:r w:rsidRPr="00BC3DD6">
        <w:rPr>
          <w:rFonts w:ascii="Calibri" w:hAnsi="Calibri" w:cs="Calibri"/>
          <w:sz w:val="20"/>
          <w:szCs w:val="20"/>
        </w:rPr>
        <w:t>EPFS ,</w:t>
      </w:r>
      <w:proofErr w:type="gramEnd"/>
      <w:r w:rsidRPr="00BC3DD6">
        <w:rPr>
          <w:rFonts w:ascii="Calibri" w:hAnsi="Calibri" w:cs="Calibri"/>
          <w:sz w:val="20"/>
          <w:szCs w:val="20"/>
        </w:rPr>
        <w:t xml:space="preserve"> DD MMMM YYYY (e.g. 31 December 2018 or 2019).</w:t>
      </w:r>
    </w:p>
    <w:p w14:paraId="2DEA22ED" w14:textId="77777777" w:rsidR="001C5772" w:rsidRPr="00BC3DD6" w:rsidRDefault="001C5772" w:rsidP="001C5772">
      <w:pPr>
        <w:spacing w:after="0" w:line="240" w:lineRule="auto"/>
        <w:jc w:val="both"/>
        <w:rPr>
          <w:rFonts w:ascii="Calibri" w:hAnsi="Calibri" w:cs="Calibri"/>
          <w:bCs/>
          <w:sz w:val="20"/>
          <w:szCs w:val="20"/>
        </w:rPr>
      </w:pPr>
    </w:p>
    <w:p w14:paraId="0A4AB458" w14:textId="77777777" w:rsidR="001C5772" w:rsidRPr="00BC3DD6" w:rsidRDefault="001C5772" w:rsidP="001C5772">
      <w:pPr>
        <w:numPr>
          <w:ilvl w:val="0"/>
          <w:numId w:val="29"/>
        </w:numPr>
        <w:spacing w:after="0" w:line="240" w:lineRule="auto"/>
        <w:jc w:val="both"/>
        <w:rPr>
          <w:rFonts w:ascii="Calibri" w:hAnsi="Calibri" w:cs="Calibri"/>
          <w:bCs/>
          <w:sz w:val="20"/>
          <w:szCs w:val="20"/>
        </w:rPr>
      </w:pPr>
      <w:r w:rsidRPr="00BC3DD6">
        <w:rPr>
          <w:rFonts w:ascii="Calibri" w:hAnsi="Calibri" w:cs="Calibri"/>
          <w:bCs/>
          <w:sz w:val="20"/>
          <w:szCs w:val="20"/>
        </w:rPr>
        <w:t>The reports for the years 2018 and 2019 using</w:t>
      </w:r>
      <w:r w:rsidRPr="00BC3DD6">
        <w:rPr>
          <w:rFonts w:ascii="Calibri" w:hAnsi="Calibri" w:cs="Calibri"/>
          <w:sz w:val="20"/>
          <w:szCs w:val="20"/>
        </w:rPr>
        <w:t xml:space="preserve"> the monthly report template shall be submitted in separate emails along with the corresponding Control </w:t>
      </w:r>
      <w:proofErr w:type="spellStart"/>
      <w:r w:rsidRPr="00BC3DD6">
        <w:rPr>
          <w:rFonts w:ascii="Calibri" w:hAnsi="Calibri" w:cs="Calibri"/>
          <w:sz w:val="20"/>
          <w:szCs w:val="20"/>
        </w:rPr>
        <w:t>Prooflist</w:t>
      </w:r>
      <w:proofErr w:type="spellEnd"/>
      <w:r w:rsidRPr="00BC3DD6">
        <w:rPr>
          <w:rFonts w:ascii="Calibri" w:hAnsi="Calibri" w:cs="Calibri"/>
          <w:sz w:val="20"/>
          <w:szCs w:val="20"/>
        </w:rPr>
        <w:t xml:space="preserve"> and following the file names prescribed under Memorandum M-2020-080.</w:t>
      </w:r>
    </w:p>
    <w:p w14:paraId="6EF54A10" w14:textId="77777777" w:rsidR="001C5772" w:rsidRPr="00BC3DD6" w:rsidRDefault="001C5772" w:rsidP="001C5772">
      <w:pPr>
        <w:spacing w:after="0" w:line="240" w:lineRule="auto"/>
        <w:jc w:val="both"/>
        <w:rPr>
          <w:rFonts w:ascii="Calibri" w:hAnsi="Calibri" w:cs="Calibri"/>
          <w:bCs/>
          <w:sz w:val="20"/>
          <w:szCs w:val="20"/>
        </w:rPr>
      </w:pPr>
    </w:p>
    <w:p w14:paraId="53274D8F" w14:textId="77777777" w:rsidR="001C5772" w:rsidRPr="00BC3DD6" w:rsidRDefault="001C5772" w:rsidP="001C5772">
      <w:pPr>
        <w:numPr>
          <w:ilvl w:val="0"/>
          <w:numId w:val="29"/>
        </w:numPr>
        <w:spacing w:after="0" w:line="240" w:lineRule="auto"/>
        <w:jc w:val="both"/>
        <w:rPr>
          <w:rFonts w:ascii="Calibri" w:hAnsi="Calibri" w:cs="Calibri"/>
          <w:bCs/>
          <w:sz w:val="20"/>
          <w:szCs w:val="20"/>
        </w:rPr>
      </w:pPr>
      <w:r w:rsidRPr="00BC3DD6">
        <w:rPr>
          <w:rFonts w:ascii="Calibri" w:hAnsi="Calibri" w:cs="Calibri"/>
          <w:sz w:val="20"/>
          <w:szCs w:val="20"/>
        </w:rPr>
        <w:t xml:space="preserve">The monthly reports beginning January 2020 shall cover each particular </w:t>
      </w:r>
      <w:proofErr w:type="gramStart"/>
      <w:r w:rsidRPr="00BC3DD6">
        <w:rPr>
          <w:rFonts w:ascii="Calibri" w:hAnsi="Calibri" w:cs="Calibri"/>
          <w:sz w:val="20"/>
          <w:szCs w:val="20"/>
        </w:rPr>
        <w:t>month, and</w:t>
      </w:r>
      <w:proofErr w:type="gramEnd"/>
      <w:r w:rsidRPr="00BC3DD6">
        <w:rPr>
          <w:rFonts w:ascii="Calibri" w:hAnsi="Calibri" w:cs="Calibri"/>
          <w:sz w:val="20"/>
          <w:szCs w:val="20"/>
        </w:rPr>
        <w:t xml:space="preserve"> shall be submitted as one month per email for a total of 12 email submissions all due on or before 29 January 2021.</w:t>
      </w:r>
    </w:p>
    <w:p w14:paraId="25D749A2" w14:textId="77777777" w:rsidR="001C5772" w:rsidRPr="00BC3DD6" w:rsidRDefault="001C5772" w:rsidP="001C5772">
      <w:pPr>
        <w:spacing w:after="0" w:line="240" w:lineRule="auto"/>
        <w:jc w:val="both"/>
        <w:rPr>
          <w:rFonts w:ascii="Calibri" w:hAnsi="Calibri" w:cs="Calibri"/>
          <w:sz w:val="20"/>
          <w:szCs w:val="20"/>
        </w:rPr>
      </w:pPr>
    </w:p>
    <w:p w14:paraId="4F3087CB" w14:textId="77777777" w:rsidR="001C5772" w:rsidRPr="00BC3DD6" w:rsidRDefault="001C5772" w:rsidP="001C5772">
      <w:pPr>
        <w:spacing w:after="0" w:line="240" w:lineRule="auto"/>
        <w:jc w:val="both"/>
        <w:rPr>
          <w:rFonts w:ascii="Calibri" w:hAnsi="Calibri" w:cs="Calibri"/>
          <w:sz w:val="20"/>
          <w:szCs w:val="20"/>
        </w:rPr>
      </w:pPr>
    </w:p>
    <w:p w14:paraId="13D65C94"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Memorandum No. 094: Single Reserve Week from 18 to 31 December 2020 and the Corresponding Computation for the Single Reserve Week</w:t>
      </w:r>
    </w:p>
    <w:p w14:paraId="21AA4779"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December 18, 2020</w:t>
      </w:r>
    </w:p>
    <w:p w14:paraId="1C84BF28" w14:textId="77777777" w:rsidR="001C5772" w:rsidRPr="00BC3DD6" w:rsidRDefault="001C5772" w:rsidP="001C5772">
      <w:pPr>
        <w:spacing w:after="0" w:line="240" w:lineRule="auto"/>
        <w:jc w:val="both"/>
        <w:rPr>
          <w:rFonts w:ascii="Calibri" w:hAnsi="Calibri" w:cs="Calibri"/>
          <w:bCs/>
          <w:i/>
          <w:iCs/>
          <w:sz w:val="20"/>
          <w:szCs w:val="20"/>
        </w:rPr>
      </w:pPr>
      <w:r w:rsidRPr="00BC3DD6">
        <w:rPr>
          <w:rFonts w:ascii="Calibri" w:hAnsi="Calibri" w:cs="Calibri"/>
          <w:bCs/>
          <w:i/>
          <w:iCs/>
          <w:sz w:val="20"/>
          <w:szCs w:val="20"/>
        </w:rPr>
        <w:t xml:space="preserve">Memorandum No. 094 provides for the </w:t>
      </w:r>
      <w:r w:rsidRPr="00BC3DD6">
        <w:rPr>
          <w:rFonts w:ascii="Calibri" w:hAnsi="Calibri" w:cs="Calibri"/>
          <w:bCs/>
          <w:i/>
          <w:sz w:val="20"/>
          <w:szCs w:val="20"/>
        </w:rPr>
        <w:t>Single Reserve Week from 18 to 31 December 2020 and the corresponding computation for the Single Reserve Week</w:t>
      </w:r>
    </w:p>
    <w:p w14:paraId="2BA61EF9" w14:textId="77777777" w:rsidR="001C5772" w:rsidRPr="00BC3DD6" w:rsidRDefault="001C5772" w:rsidP="001C5772">
      <w:pPr>
        <w:spacing w:after="0" w:line="240" w:lineRule="auto"/>
        <w:jc w:val="both"/>
        <w:rPr>
          <w:rFonts w:ascii="Calibri" w:hAnsi="Calibri" w:cs="Calibri"/>
          <w:bCs/>
          <w:sz w:val="20"/>
          <w:szCs w:val="20"/>
        </w:rPr>
      </w:pPr>
    </w:p>
    <w:p w14:paraId="1EFF0E33"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bCs/>
          <w:sz w:val="20"/>
          <w:szCs w:val="20"/>
        </w:rPr>
        <w:t xml:space="preserve">In </w:t>
      </w:r>
      <w:r w:rsidRPr="00BC3DD6">
        <w:rPr>
          <w:rFonts w:ascii="Calibri" w:hAnsi="Calibri" w:cs="Calibri"/>
          <w:sz w:val="20"/>
          <w:szCs w:val="20"/>
        </w:rPr>
        <w:t>computing the reserve requirement for reference weeks 18 to 24 December 2020 and 25 to 31 December 2020, please be guided by the following:</w:t>
      </w:r>
    </w:p>
    <w:p w14:paraId="39D088E7" w14:textId="77777777" w:rsidR="001C5772" w:rsidRPr="00BC3DD6" w:rsidRDefault="001C5772" w:rsidP="001C5772">
      <w:pPr>
        <w:spacing w:after="0" w:line="240" w:lineRule="auto"/>
        <w:jc w:val="both"/>
        <w:rPr>
          <w:rFonts w:ascii="Calibri" w:hAnsi="Calibri" w:cs="Calibri"/>
          <w:bCs/>
          <w:sz w:val="20"/>
          <w:szCs w:val="20"/>
        </w:rPr>
      </w:pPr>
    </w:p>
    <w:p w14:paraId="1020DF9C" w14:textId="77777777" w:rsidR="001C5772" w:rsidRPr="00BC3DD6" w:rsidRDefault="001C5772" w:rsidP="001C5772">
      <w:pPr>
        <w:numPr>
          <w:ilvl w:val="0"/>
          <w:numId w:val="30"/>
        </w:numPr>
        <w:spacing w:after="0" w:line="240" w:lineRule="auto"/>
        <w:jc w:val="both"/>
        <w:rPr>
          <w:rFonts w:ascii="Calibri" w:hAnsi="Calibri" w:cs="Calibri"/>
          <w:bCs/>
          <w:sz w:val="20"/>
          <w:szCs w:val="20"/>
        </w:rPr>
      </w:pPr>
      <w:r w:rsidRPr="00BC3DD6">
        <w:rPr>
          <w:rFonts w:ascii="Calibri" w:hAnsi="Calibri" w:cs="Calibri"/>
          <w:sz w:val="20"/>
          <w:szCs w:val="20"/>
        </w:rPr>
        <w:t>The following dates are proclaimed non-working holidays, thus considered as non-reserve days:</w:t>
      </w:r>
    </w:p>
    <w:p w14:paraId="582F2768" w14:textId="77777777" w:rsidR="001C5772" w:rsidRPr="00BC3DD6" w:rsidRDefault="001C5772" w:rsidP="001C5772">
      <w:pPr>
        <w:spacing w:after="0" w:line="240" w:lineRule="auto"/>
        <w:jc w:val="both"/>
        <w:rPr>
          <w:rFonts w:ascii="Calibri" w:hAnsi="Calibri" w:cs="Calibri"/>
          <w:bCs/>
          <w:sz w:val="20"/>
          <w:szCs w:val="20"/>
        </w:rPr>
      </w:pPr>
    </w:p>
    <w:p w14:paraId="2407A26A" w14:textId="77777777" w:rsidR="001C5772" w:rsidRPr="00BC3DD6" w:rsidRDefault="001C5772" w:rsidP="001C5772">
      <w:pPr>
        <w:numPr>
          <w:ilvl w:val="0"/>
          <w:numId w:val="31"/>
        </w:numPr>
        <w:spacing w:after="0" w:line="240" w:lineRule="auto"/>
        <w:jc w:val="both"/>
        <w:rPr>
          <w:rFonts w:ascii="Calibri" w:hAnsi="Calibri" w:cs="Calibri"/>
          <w:bCs/>
          <w:sz w:val="20"/>
          <w:szCs w:val="20"/>
        </w:rPr>
      </w:pPr>
      <w:r w:rsidRPr="00BC3DD6">
        <w:rPr>
          <w:rFonts w:ascii="Calibri" w:hAnsi="Calibri" w:cs="Calibri"/>
          <w:sz w:val="20"/>
          <w:szCs w:val="20"/>
        </w:rPr>
        <w:t>25 December 2020, Friday - Christmas Day and 30 December 2020, Wednesday – Rizal Day as Regular Holidays; and</w:t>
      </w:r>
    </w:p>
    <w:p w14:paraId="53EE89FC" w14:textId="77777777" w:rsidR="001C5772" w:rsidRPr="00BC3DD6" w:rsidRDefault="001C5772" w:rsidP="001C5772">
      <w:pPr>
        <w:numPr>
          <w:ilvl w:val="0"/>
          <w:numId w:val="31"/>
        </w:numPr>
        <w:spacing w:after="0" w:line="240" w:lineRule="auto"/>
        <w:jc w:val="both"/>
        <w:rPr>
          <w:rFonts w:ascii="Calibri" w:hAnsi="Calibri" w:cs="Calibri"/>
          <w:bCs/>
          <w:sz w:val="20"/>
          <w:szCs w:val="20"/>
        </w:rPr>
      </w:pPr>
      <w:r w:rsidRPr="00BC3DD6">
        <w:rPr>
          <w:rFonts w:ascii="Calibri" w:hAnsi="Calibri" w:cs="Calibri"/>
          <w:sz w:val="20"/>
          <w:szCs w:val="20"/>
        </w:rPr>
        <w:t>24 December 2020, Thursday and 31 December 2020, Thursday as Special Non-Working Days</w:t>
      </w:r>
    </w:p>
    <w:p w14:paraId="01305B59" w14:textId="77777777" w:rsidR="001C5772" w:rsidRPr="00BC3DD6" w:rsidRDefault="001C5772" w:rsidP="001C5772">
      <w:pPr>
        <w:spacing w:after="0" w:line="240" w:lineRule="auto"/>
        <w:jc w:val="both"/>
        <w:rPr>
          <w:rFonts w:ascii="Calibri" w:hAnsi="Calibri" w:cs="Calibri"/>
          <w:bCs/>
          <w:sz w:val="20"/>
          <w:szCs w:val="20"/>
        </w:rPr>
      </w:pPr>
    </w:p>
    <w:p w14:paraId="372D0DCB" w14:textId="77777777" w:rsidR="001C5772" w:rsidRPr="00BC3DD6" w:rsidRDefault="001C5772" w:rsidP="001C5772">
      <w:pPr>
        <w:numPr>
          <w:ilvl w:val="0"/>
          <w:numId w:val="30"/>
        </w:numPr>
        <w:spacing w:after="0" w:line="240" w:lineRule="auto"/>
        <w:jc w:val="both"/>
        <w:rPr>
          <w:rFonts w:ascii="Calibri" w:hAnsi="Calibri" w:cs="Calibri"/>
          <w:bCs/>
          <w:sz w:val="20"/>
          <w:szCs w:val="20"/>
        </w:rPr>
      </w:pPr>
      <w:r w:rsidRPr="00BC3DD6">
        <w:rPr>
          <w:rFonts w:ascii="Calibri" w:hAnsi="Calibri" w:cs="Calibri"/>
          <w:sz w:val="20"/>
          <w:szCs w:val="20"/>
        </w:rPr>
        <w:t>Accordingly, the reserve position as computed at the close of business of 23 December 2020 shall be carried over up to 27 December 2020. Likewise, the reserve position as computed at the close of business of 29 December 2020 shall be carried over up to 3 January 2021.</w:t>
      </w:r>
    </w:p>
    <w:p w14:paraId="567701E2" w14:textId="77777777" w:rsidR="001C5772" w:rsidRPr="00BC3DD6" w:rsidRDefault="001C5772" w:rsidP="001C5772">
      <w:pPr>
        <w:spacing w:after="0" w:line="240" w:lineRule="auto"/>
        <w:jc w:val="both"/>
        <w:rPr>
          <w:rFonts w:ascii="Calibri" w:hAnsi="Calibri" w:cs="Calibri"/>
          <w:bCs/>
          <w:sz w:val="20"/>
          <w:szCs w:val="20"/>
        </w:rPr>
      </w:pPr>
    </w:p>
    <w:p w14:paraId="2E9017F0" w14:textId="77777777" w:rsidR="001C5772" w:rsidRPr="00BC3DD6" w:rsidRDefault="001C5772" w:rsidP="001C5772">
      <w:pPr>
        <w:numPr>
          <w:ilvl w:val="0"/>
          <w:numId w:val="30"/>
        </w:numPr>
        <w:spacing w:after="0" w:line="240" w:lineRule="auto"/>
        <w:jc w:val="both"/>
        <w:rPr>
          <w:rFonts w:ascii="Calibri" w:hAnsi="Calibri" w:cs="Calibri"/>
          <w:bCs/>
          <w:sz w:val="20"/>
          <w:szCs w:val="20"/>
        </w:rPr>
      </w:pPr>
      <w:r w:rsidRPr="00BC3DD6">
        <w:rPr>
          <w:rFonts w:ascii="Calibri" w:hAnsi="Calibri" w:cs="Calibri"/>
          <w:sz w:val="20"/>
          <w:szCs w:val="20"/>
        </w:rPr>
        <w:t>The reserve weeks 18 to 24 December 2020 and 25 to 31 December 2020 shall be considered as a single reserve week for the purpose of determining “abuse” of the privilege of offsetting reserve deficiencies against excess reserve during that reserve week.</w:t>
      </w:r>
    </w:p>
    <w:p w14:paraId="68F32E0C" w14:textId="77777777" w:rsidR="001C5772" w:rsidRPr="00BC3DD6" w:rsidRDefault="001C5772" w:rsidP="001C5772">
      <w:pPr>
        <w:spacing w:after="0" w:line="240" w:lineRule="auto"/>
        <w:jc w:val="both"/>
        <w:rPr>
          <w:rFonts w:ascii="Calibri" w:hAnsi="Calibri" w:cs="Calibri"/>
          <w:bCs/>
          <w:sz w:val="20"/>
          <w:szCs w:val="20"/>
        </w:rPr>
      </w:pPr>
    </w:p>
    <w:p w14:paraId="543A76B9" w14:textId="77777777" w:rsidR="001C5772" w:rsidRPr="00BC3DD6" w:rsidRDefault="001C5772" w:rsidP="001C5772">
      <w:pPr>
        <w:numPr>
          <w:ilvl w:val="0"/>
          <w:numId w:val="30"/>
        </w:numPr>
        <w:spacing w:after="0" w:line="240" w:lineRule="auto"/>
        <w:jc w:val="both"/>
        <w:rPr>
          <w:rFonts w:ascii="Calibri" w:hAnsi="Calibri" w:cs="Calibri"/>
          <w:bCs/>
          <w:sz w:val="20"/>
          <w:szCs w:val="20"/>
        </w:rPr>
      </w:pPr>
      <w:r w:rsidRPr="00BC3DD6">
        <w:rPr>
          <w:rFonts w:ascii="Calibri" w:hAnsi="Calibri" w:cs="Calibri"/>
          <w:sz w:val="20"/>
          <w:szCs w:val="20"/>
        </w:rPr>
        <w:lastRenderedPageBreak/>
        <w:t>The original deadlines for the two reserve reports ending 24 December 2020 and 31 December 2020, respectively, remains the same and shall be subject to the usual penalties for reporting violations.</w:t>
      </w:r>
    </w:p>
    <w:p w14:paraId="61E9746B" w14:textId="77777777" w:rsidR="001C5772" w:rsidRPr="00BC3DD6" w:rsidRDefault="001C5772" w:rsidP="001C5772">
      <w:pPr>
        <w:spacing w:after="0" w:line="240" w:lineRule="auto"/>
        <w:jc w:val="both"/>
        <w:rPr>
          <w:rFonts w:ascii="Calibri" w:hAnsi="Calibri" w:cs="Calibri"/>
          <w:sz w:val="20"/>
          <w:szCs w:val="20"/>
        </w:rPr>
      </w:pPr>
    </w:p>
    <w:p w14:paraId="54240536" w14:textId="77777777" w:rsidR="001C5772" w:rsidRPr="00BC3DD6" w:rsidRDefault="001C5772" w:rsidP="001C5772">
      <w:pPr>
        <w:spacing w:after="0" w:line="240" w:lineRule="auto"/>
        <w:jc w:val="both"/>
        <w:rPr>
          <w:rFonts w:ascii="Calibri" w:hAnsi="Calibri" w:cs="Calibri"/>
          <w:sz w:val="20"/>
          <w:szCs w:val="20"/>
        </w:rPr>
      </w:pPr>
    </w:p>
    <w:p w14:paraId="04E8C861"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 xml:space="preserve">Memorandum No. 095: Extension of the Temporary Relief Measure on the Transactions with </w:t>
      </w:r>
      <w:proofErr w:type="spellStart"/>
      <w:r w:rsidRPr="00BC3DD6">
        <w:rPr>
          <w:rFonts w:ascii="Calibri" w:hAnsi="Calibri" w:cs="Calibri"/>
          <w:b/>
          <w:bCs/>
          <w:sz w:val="20"/>
          <w:szCs w:val="20"/>
        </w:rPr>
        <w:t>PhilPaSS</w:t>
      </w:r>
      <w:proofErr w:type="spellEnd"/>
      <w:r w:rsidRPr="00BC3DD6">
        <w:rPr>
          <w:rFonts w:ascii="Calibri" w:hAnsi="Calibri" w:cs="Calibri"/>
          <w:b/>
          <w:bCs/>
          <w:sz w:val="20"/>
          <w:szCs w:val="20"/>
        </w:rPr>
        <w:t xml:space="preserve"> until the Last Business Day of Year 2021</w:t>
      </w:r>
    </w:p>
    <w:p w14:paraId="715BE9F5" w14:textId="77777777" w:rsidR="001C5772" w:rsidRDefault="001C5772" w:rsidP="001C5772">
      <w:pPr>
        <w:spacing w:after="0" w:line="240" w:lineRule="auto"/>
        <w:jc w:val="both"/>
        <w:rPr>
          <w:rFonts w:ascii="Calibri" w:hAnsi="Calibri" w:cs="Calibri"/>
          <w:sz w:val="20"/>
          <w:szCs w:val="20"/>
        </w:rPr>
      </w:pPr>
      <w:r>
        <w:rPr>
          <w:rFonts w:ascii="Calibri" w:hAnsi="Calibri" w:cs="Calibri"/>
          <w:sz w:val="20"/>
          <w:szCs w:val="20"/>
        </w:rPr>
        <w:t>December 16, 2020</w:t>
      </w:r>
    </w:p>
    <w:p w14:paraId="6E2B4919" w14:textId="77777777" w:rsidR="001C5772" w:rsidRPr="00BE736B" w:rsidRDefault="001C5772" w:rsidP="001C5772">
      <w:pPr>
        <w:spacing w:after="0" w:line="240" w:lineRule="auto"/>
        <w:jc w:val="both"/>
        <w:rPr>
          <w:rFonts w:ascii="Calibri" w:hAnsi="Calibri" w:cs="Calibri"/>
          <w:sz w:val="20"/>
          <w:szCs w:val="20"/>
        </w:rPr>
      </w:pPr>
    </w:p>
    <w:p w14:paraId="0DA02FE8" w14:textId="77777777" w:rsidR="001C5772" w:rsidRPr="00BC3DD6" w:rsidRDefault="001C5772" w:rsidP="001C5772">
      <w:pPr>
        <w:spacing w:after="0" w:line="240" w:lineRule="auto"/>
        <w:jc w:val="both"/>
        <w:rPr>
          <w:rFonts w:ascii="Calibri" w:hAnsi="Calibri" w:cs="Calibri"/>
          <w:bCs/>
          <w:i/>
          <w:iCs/>
          <w:sz w:val="20"/>
          <w:szCs w:val="20"/>
        </w:rPr>
      </w:pPr>
      <w:r w:rsidRPr="00BC3DD6">
        <w:rPr>
          <w:rFonts w:ascii="Calibri" w:hAnsi="Calibri" w:cs="Calibri"/>
          <w:bCs/>
          <w:i/>
          <w:iCs/>
          <w:sz w:val="20"/>
          <w:szCs w:val="20"/>
        </w:rPr>
        <w:t xml:space="preserve">Memorandum No. 095 provides extension of the Temporary Relief Measure on the transactions with </w:t>
      </w:r>
      <w:proofErr w:type="spellStart"/>
      <w:r w:rsidRPr="00BC3DD6">
        <w:rPr>
          <w:rFonts w:ascii="Calibri" w:hAnsi="Calibri" w:cs="Calibri"/>
          <w:bCs/>
          <w:i/>
          <w:iCs/>
          <w:sz w:val="20"/>
          <w:szCs w:val="20"/>
        </w:rPr>
        <w:t>PhilPaSS</w:t>
      </w:r>
      <w:proofErr w:type="spellEnd"/>
      <w:r w:rsidRPr="00BC3DD6">
        <w:rPr>
          <w:rFonts w:ascii="Calibri" w:hAnsi="Calibri" w:cs="Calibri"/>
          <w:bCs/>
          <w:i/>
          <w:iCs/>
          <w:sz w:val="20"/>
          <w:szCs w:val="20"/>
        </w:rPr>
        <w:t xml:space="preserve"> until the last business day of year 2021.</w:t>
      </w:r>
    </w:p>
    <w:p w14:paraId="555A9971" w14:textId="77777777" w:rsidR="001C5772" w:rsidRPr="00BC3DD6" w:rsidRDefault="001C5772" w:rsidP="001C5772">
      <w:pPr>
        <w:spacing w:after="0" w:line="240" w:lineRule="auto"/>
        <w:jc w:val="both"/>
        <w:rPr>
          <w:rFonts w:ascii="Calibri" w:hAnsi="Calibri" w:cs="Calibri"/>
          <w:bCs/>
          <w:sz w:val="20"/>
          <w:szCs w:val="20"/>
        </w:rPr>
      </w:pPr>
    </w:p>
    <w:p w14:paraId="0FBD6CCE" w14:textId="77777777" w:rsidR="001C5772" w:rsidRPr="00BC3DD6" w:rsidRDefault="001C5772" w:rsidP="001C5772">
      <w:pPr>
        <w:spacing w:after="0" w:line="240" w:lineRule="auto"/>
        <w:jc w:val="both"/>
        <w:rPr>
          <w:rFonts w:ascii="Calibri" w:hAnsi="Calibri" w:cs="Calibri"/>
          <w:bCs/>
          <w:sz w:val="20"/>
          <w:szCs w:val="20"/>
        </w:rPr>
      </w:pPr>
      <w:r w:rsidRPr="00BC3DD6">
        <w:rPr>
          <w:rFonts w:ascii="Calibri" w:hAnsi="Calibri" w:cs="Calibri"/>
          <w:bCs/>
          <w:sz w:val="20"/>
          <w:szCs w:val="20"/>
        </w:rPr>
        <w:t>The temporary waiver of fees of fund transfer transactions made through the Philippine Payment and Settlement System (</w:t>
      </w:r>
      <w:proofErr w:type="spellStart"/>
      <w:r w:rsidRPr="00BC3DD6">
        <w:rPr>
          <w:rFonts w:ascii="Calibri" w:hAnsi="Calibri" w:cs="Calibri"/>
          <w:bCs/>
          <w:sz w:val="20"/>
          <w:szCs w:val="20"/>
        </w:rPr>
        <w:t>PhilPaSS</w:t>
      </w:r>
      <w:proofErr w:type="spellEnd"/>
      <w:r w:rsidRPr="00BC3DD6">
        <w:rPr>
          <w:rFonts w:ascii="Calibri" w:hAnsi="Calibri" w:cs="Calibri"/>
          <w:bCs/>
          <w:sz w:val="20"/>
          <w:szCs w:val="20"/>
        </w:rPr>
        <w:t>) under the BSP Memorandum M-2020-027 dated 21 April 2020 is extended until the last business day of year 2021.</w:t>
      </w:r>
    </w:p>
    <w:p w14:paraId="7103CBC3" w14:textId="77777777" w:rsidR="001C5772" w:rsidRPr="00BC3DD6" w:rsidRDefault="001C5772" w:rsidP="001C5772">
      <w:pPr>
        <w:spacing w:after="0" w:line="240" w:lineRule="auto"/>
        <w:jc w:val="both"/>
        <w:rPr>
          <w:rFonts w:ascii="Calibri" w:hAnsi="Calibri" w:cs="Calibri"/>
          <w:sz w:val="20"/>
          <w:szCs w:val="20"/>
        </w:rPr>
      </w:pPr>
    </w:p>
    <w:p w14:paraId="39ACE922" w14:textId="77777777" w:rsidR="001C5772" w:rsidRPr="00BC3DD6" w:rsidRDefault="001C5772" w:rsidP="001C5772">
      <w:pPr>
        <w:spacing w:after="0" w:line="240" w:lineRule="auto"/>
        <w:jc w:val="both"/>
        <w:rPr>
          <w:rFonts w:ascii="Calibri" w:hAnsi="Calibri" w:cs="Calibri"/>
          <w:sz w:val="20"/>
          <w:szCs w:val="20"/>
        </w:rPr>
      </w:pPr>
    </w:p>
    <w:p w14:paraId="39788968"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Memorandum No. 096: Availability and Security of Automated Teller Machines (ATMs) and Digital Financial Services (DFS)</w:t>
      </w:r>
    </w:p>
    <w:p w14:paraId="603C1C44"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December 21, 2020</w:t>
      </w:r>
    </w:p>
    <w:p w14:paraId="7D155376" w14:textId="77777777" w:rsidR="001C5772" w:rsidRPr="00BC3DD6" w:rsidRDefault="001C5772" w:rsidP="001C5772">
      <w:pPr>
        <w:spacing w:after="0" w:line="240" w:lineRule="auto"/>
        <w:jc w:val="both"/>
        <w:rPr>
          <w:rFonts w:ascii="Calibri" w:hAnsi="Calibri" w:cs="Calibri"/>
          <w:b/>
          <w:bCs/>
          <w:sz w:val="20"/>
          <w:szCs w:val="20"/>
        </w:rPr>
      </w:pPr>
    </w:p>
    <w:p w14:paraId="362FD240"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Cs/>
          <w:i/>
          <w:iCs/>
          <w:sz w:val="20"/>
          <w:szCs w:val="20"/>
        </w:rPr>
        <w:t xml:space="preserve">Memorandum No. 096 provides for the </w:t>
      </w:r>
      <w:r w:rsidRPr="00BC3DD6">
        <w:rPr>
          <w:rFonts w:ascii="Calibri" w:hAnsi="Calibri" w:cs="Calibri"/>
          <w:bCs/>
          <w:i/>
          <w:sz w:val="20"/>
          <w:szCs w:val="20"/>
        </w:rPr>
        <w:t>availability and security of Automated Teller Machines (ATMs) and Digital Financial Services (DFS).</w:t>
      </w:r>
    </w:p>
    <w:p w14:paraId="63A1A8CE" w14:textId="77777777" w:rsidR="001C5772" w:rsidRPr="00BC3DD6" w:rsidRDefault="001C5772" w:rsidP="001C5772">
      <w:pPr>
        <w:spacing w:after="0" w:line="240" w:lineRule="auto"/>
        <w:jc w:val="both"/>
        <w:rPr>
          <w:rFonts w:ascii="Calibri" w:hAnsi="Calibri" w:cs="Calibri"/>
          <w:bCs/>
          <w:sz w:val="20"/>
          <w:szCs w:val="20"/>
        </w:rPr>
      </w:pPr>
    </w:p>
    <w:p w14:paraId="4BD5D295"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bCs/>
          <w:sz w:val="20"/>
          <w:szCs w:val="20"/>
        </w:rPr>
        <w:t xml:space="preserve">All BSP Supervised Financial Institutions (BSFIs) </w:t>
      </w:r>
      <w:r w:rsidRPr="00BC3DD6">
        <w:rPr>
          <w:rFonts w:ascii="Calibri" w:hAnsi="Calibri" w:cs="Calibri"/>
          <w:sz w:val="20"/>
          <w:szCs w:val="20"/>
        </w:rPr>
        <w:t>shall actively augment existing capabilities and implement strategies to fulfill customer requirements. Given the continuing community quarantine protocols, BSFIs play a crucial role to ensure that ATMs have sufficient levels of cash and their operations comply with physical distancing protocols.</w:t>
      </w:r>
    </w:p>
    <w:p w14:paraId="64FC7F9C" w14:textId="77777777" w:rsidR="001C5772" w:rsidRPr="00BC3DD6" w:rsidRDefault="001C5772" w:rsidP="001C5772">
      <w:pPr>
        <w:spacing w:after="0" w:line="240" w:lineRule="auto"/>
        <w:jc w:val="both"/>
        <w:rPr>
          <w:rFonts w:ascii="Calibri" w:hAnsi="Calibri" w:cs="Calibri"/>
          <w:sz w:val="20"/>
          <w:szCs w:val="20"/>
        </w:rPr>
      </w:pPr>
    </w:p>
    <w:p w14:paraId="45B86993"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Further, BSFIs should sustain the public’s growing preference to utilize digital channels in fulfilling basic financial and payment transactions. Cyberattacks and electronic fraud are likewise observed to be escalating during long weekends and holidays. Hence, it is crucial for BSFIs to put in place mechanisms, resources and processes to ensure security of DFS and responsiveness to customer concerns. Likewise, customers should also be reminded to be alert and immediately report to concerned BSFIs any unusual transactions or activities in their accounts.</w:t>
      </w:r>
    </w:p>
    <w:p w14:paraId="4EB70771" w14:textId="77777777" w:rsidR="001C5772" w:rsidRPr="00BC3DD6" w:rsidRDefault="001C5772" w:rsidP="001C5772">
      <w:pPr>
        <w:spacing w:after="0" w:line="240" w:lineRule="auto"/>
        <w:jc w:val="both"/>
        <w:rPr>
          <w:rFonts w:ascii="Calibri" w:hAnsi="Calibri" w:cs="Calibri"/>
          <w:sz w:val="20"/>
          <w:szCs w:val="20"/>
        </w:rPr>
      </w:pPr>
    </w:p>
    <w:p w14:paraId="5EA54820" w14:textId="77777777" w:rsidR="001C5772" w:rsidRPr="00BC3DD6" w:rsidRDefault="001C5772" w:rsidP="001C5772">
      <w:pPr>
        <w:spacing w:after="0" w:line="240" w:lineRule="auto"/>
        <w:jc w:val="both"/>
        <w:rPr>
          <w:rFonts w:ascii="Calibri" w:hAnsi="Calibri" w:cs="Calibri"/>
          <w:sz w:val="20"/>
          <w:szCs w:val="20"/>
        </w:rPr>
      </w:pPr>
    </w:p>
    <w:p w14:paraId="05CCD7CF"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Memorandum No. 097: Guidelines on the Submission of Quarterly Report on Appraised Commercial Properties (QRACP) for the Generation of the Commercial Property Price Index (CPPI)</w:t>
      </w:r>
    </w:p>
    <w:p w14:paraId="1E7FCE0F"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December 28, 2020</w:t>
      </w:r>
    </w:p>
    <w:p w14:paraId="2810CF39" w14:textId="77777777" w:rsidR="001C5772" w:rsidRDefault="001C5772" w:rsidP="001C5772">
      <w:pPr>
        <w:spacing w:after="0" w:line="240" w:lineRule="auto"/>
        <w:jc w:val="both"/>
        <w:rPr>
          <w:rFonts w:ascii="Calibri" w:hAnsi="Calibri" w:cs="Calibri"/>
          <w:bCs/>
          <w:i/>
          <w:iCs/>
          <w:sz w:val="20"/>
          <w:szCs w:val="20"/>
        </w:rPr>
      </w:pPr>
    </w:p>
    <w:p w14:paraId="27EA72E8" w14:textId="77777777" w:rsidR="001C5772" w:rsidRPr="00BC3DD6" w:rsidRDefault="001C5772" w:rsidP="001C5772">
      <w:pPr>
        <w:spacing w:after="0" w:line="240" w:lineRule="auto"/>
        <w:jc w:val="both"/>
        <w:rPr>
          <w:rFonts w:ascii="Calibri" w:hAnsi="Calibri" w:cs="Calibri"/>
          <w:bCs/>
          <w:i/>
          <w:iCs/>
          <w:sz w:val="20"/>
          <w:szCs w:val="20"/>
        </w:rPr>
      </w:pPr>
      <w:r w:rsidRPr="00BC3DD6">
        <w:rPr>
          <w:rFonts w:ascii="Calibri" w:hAnsi="Calibri" w:cs="Calibri"/>
          <w:bCs/>
          <w:i/>
          <w:iCs/>
          <w:sz w:val="20"/>
          <w:szCs w:val="20"/>
        </w:rPr>
        <w:t xml:space="preserve">Memorandum No. 097 provides for the </w:t>
      </w:r>
      <w:r w:rsidRPr="00BC3DD6">
        <w:rPr>
          <w:rFonts w:ascii="Calibri" w:hAnsi="Calibri" w:cs="Calibri"/>
          <w:bCs/>
          <w:i/>
          <w:sz w:val="20"/>
          <w:szCs w:val="20"/>
        </w:rPr>
        <w:t>guidelines on the submission of Quarterly Report on Appraised Commercial Properties (QRACP) for the generation of the Commercial Property Price Index (CPPI).</w:t>
      </w:r>
    </w:p>
    <w:p w14:paraId="684706C5" w14:textId="77777777" w:rsidR="001C5772" w:rsidRPr="00BC3DD6" w:rsidRDefault="001C5772" w:rsidP="001C5772">
      <w:pPr>
        <w:spacing w:after="0" w:line="240" w:lineRule="auto"/>
        <w:jc w:val="both"/>
        <w:rPr>
          <w:rFonts w:ascii="Calibri" w:hAnsi="Calibri" w:cs="Calibri"/>
          <w:bCs/>
          <w:sz w:val="20"/>
          <w:szCs w:val="20"/>
        </w:rPr>
      </w:pPr>
    </w:p>
    <w:p w14:paraId="07DBA144"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bCs/>
          <w:sz w:val="20"/>
          <w:szCs w:val="20"/>
        </w:rPr>
        <w:t>The</w:t>
      </w:r>
      <w:r w:rsidRPr="00BC3DD6">
        <w:rPr>
          <w:rFonts w:ascii="Calibri" w:hAnsi="Calibri" w:cs="Calibri"/>
          <w:sz w:val="20"/>
          <w:szCs w:val="20"/>
        </w:rPr>
        <w:t xml:space="preserve"> following guidelines on the submission of the QRACP shall be observed:</w:t>
      </w:r>
    </w:p>
    <w:p w14:paraId="0FC65E2F" w14:textId="77777777" w:rsidR="001C5772" w:rsidRPr="00BC3DD6" w:rsidRDefault="001C5772" w:rsidP="001C5772">
      <w:pPr>
        <w:spacing w:after="0" w:line="240" w:lineRule="auto"/>
        <w:jc w:val="both"/>
        <w:rPr>
          <w:rFonts w:ascii="Calibri" w:hAnsi="Calibri" w:cs="Calibri"/>
          <w:sz w:val="20"/>
          <w:szCs w:val="20"/>
        </w:rPr>
      </w:pPr>
    </w:p>
    <w:p w14:paraId="4817F88E" w14:textId="77777777" w:rsidR="001C5772" w:rsidRPr="00BC3DD6" w:rsidRDefault="001C5772" w:rsidP="001C5772">
      <w:pPr>
        <w:numPr>
          <w:ilvl w:val="0"/>
          <w:numId w:val="32"/>
        </w:numPr>
        <w:spacing w:after="0" w:line="240" w:lineRule="auto"/>
        <w:jc w:val="both"/>
        <w:rPr>
          <w:rFonts w:ascii="Calibri" w:hAnsi="Calibri" w:cs="Calibri"/>
          <w:sz w:val="20"/>
          <w:szCs w:val="20"/>
        </w:rPr>
      </w:pPr>
      <w:r w:rsidRPr="00BC3DD6">
        <w:rPr>
          <w:rFonts w:ascii="Calibri" w:hAnsi="Calibri" w:cs="Calibri"/>
          <w:sz w:val="20"/>
          <w:szCs w:val="20"/>
        </w:rPr>
        <w:t xml:space="preserve">The QRACP reporting template can be downloaded from BSP website through this link: </w:t>
      </w:r>
      <w:hyperlink r:id="rId15" w:history="1">
        <w:r w:rsidRPr="00BC3DD6">
          <w:rPr>
            <w:rStyle w:val="Hyperlink"/>
            <w:rFonts w:ascii="Calibri" w:hAnsi="Calibri" w:cs="Calibri"/>
            <w:sz w:val="20"/>
            <w:szCs w:val="20"/>
          </w:rPr>
          <w:t>https://www.bsp.sov.ph/Regulations/lssuances/2020/CPPI Form.xls</w:t>
        </w:r>
      </w:hyperlink>
      <w:r w:rsidRPr="00BC3DD6">
        <w:rPr>
          <w:rFonts w:ascii="Calibri" w:hAnsi="Calibri" w:cs="Calibri"/>
          <w:sz w:val="20"/>
          <w:szCs w:val="20"/>
          <w:u w:val="single"/>
        </w:rPr>
        <w:t>.</w:t>
      </w:r>
    </w:p>
    <w:p w14:paraId="5AA7445D" w14:textId="77777777" w:rsidR="001C5772" w:rsidRPr="00BC3DD6" w:rsidRDefault="001C5772" w:rsidP="001C5772">
      <w:pPr>
        <w:spacing w:after="0" w:line="240" w:lineRule="auto"/>
        <w:jc w:val="both"/>
        <w:rPr>
          <w:rFonts w:ascii="Calibri" w:hAnsi="Calibri" w:cs="Calibri"/>
          <w:sz w:val="20"/>
          <w:szCs w:val="20"/>
        </w:rPr>
      </w:pPr>
    </w:p>
    <w:p w14:paraId="5DF68963" w14:textId="77777777" w:rsidR="001C5772" w:rsidRPr="00BC3DD6" w:rsidRDefault="001C5772" w:rsidP="001C5772">
      <w:pPr>
        <w:numPr>
          <w:ilvl w:val="0"/>
          <w:numId w:val="32"/>
        </w:numPr>
        <w:spacing w:after="0" w:line="240" w:lineRule="auto"/>
        <w:jc w:val="both"/>
        <w:rPr>
          <w:rFonts w:ascii="Calibri" w:hAnsi="Calibri" w:cs="Calibri"/>
          <w:sz w:val="20"/>
          <w:szCs w:val="20"/>
        </w:rPr>
      </w:pPr>
      <w:r w:rsidRPr="00BC3DD6">
        <w:rPr>
          <w:rFonts w:ascii="Calibri" w:hAnsi="Calibri" w:cs="Calibri"/>
          <w:sz w:val="20"/>
          <w:szCs w:val="20"/>
        </w:rPr>
        <w:t>The submission schedule of the QRACP for the given reference period is seen in the table below:</w:t>
      </w:r>
    </w:p>
    <w:p w14:paraId="5601807E" w14:textId="77777777" w:rsidR="001C5772" w:rsidRPr="00BC3DD6" w:rsidRDefault="001C5772" w:rsidP="001C5772">
      <w:pPr>
        <w:spacing w:after="0" w:line="240" w:lineRule="auto"/>
        <w:jc w:val="both"/>
        <w:rPr>
          <w:rFonts w:ascii="Calibri" w:hAnsi="Calibri" w:cs="Calibri"/>
          <w:sz w:val="20"/>
          <w:szCs w:val="20"/>
        </w:rPr>
      </w:pPr>
    </w:p>
    <w:p w14:paraId="12AB4056" w14:textId="77777777" w:rsidR="001C5772" w:rsidRPr="00BC3DD6" w:rsidRDefault="001C5772" w:rsidP="001C5772">
      <w:pPr>
        <w:spacing w:after="0" w:line="240" w:lineRule="auto"/>
        <w:jc w:val="both"/>
        <w:rPr>
          <w:rFonts w:ascii="Calibri" w:hAnsi="Calibri" w:cs="Calibri"/>
          <w:sz w:val="20"/>
          <w:szCs w:val="20"/>
        </w:rPr>
      </w:pPr>
    </w:p>
    <w:p w14:paraId="4ECFDF8F"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noProof/>
          <w:sz w:val="20"/>
          <w:szCs w:val="20"/>
        </w:rPr>
        <w:lastRenderedPageBreak/>
        <w:drawing>
          <wp:inline distT="0" distB="0" distL="0" distR="0" wp14:anchorId="64DBFAF5" wp14:editId="66377E0A">
            <wp:extent cx="3626198" cy="2059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513" t="33504" r="58462" b="30029"/>
                    <a:stretch/>
                  </pic:blipFill>
                  <pic:spPr bwMode="auto">
                    <a:xfrm>
                      <a:off x="0" y="0"/>
                      <a:ext cx="3678833" cy="2089840"/>
                    </a:xfrm>
                    <a:prstGeom prst="rect">
                      <a:avLst/>
                    </a:prstGeom>
                    <a:ln>
                      <a:noFill/>
                    </a:ln>
                    <a:extLst>
                      <a:ext uri="{53640926-AAD7-44D8-BBD7-CCE9431645EC}">
                        <a14:shadowObscured xmlns:a14="http://schemas.microsoft.com/office/drawing/2010/main"/>
                      </a:ext>
                    </a:extLst>
                  </pic:spPr>
                </pic:pic>
              </a:graphicData>
            </a:graphic>
          </wp:inline>
        </w:drawing>
      </w:r>
    </w:p>
    <w:p w14:paraId="17C05342" w14:textId="77777777" w:rsidR="001C5772" w:rsidRPr="00BC3DD6" w:rsidRDefault="001C5772" w:rsidP="001C5772">
      <w:pPr>
        <w:spacing w:after="0" w:line="240" w:lineRule="auto"/>
        <w:jc w:val="both"/>
        <w:rPr>
          <w:rFonts w:ascii="Calibri" w:hAnsi="Calibri" w:cs="Calibri"/>
          <w:sz w:val="20"/>
          <w:szCs w:val="20"/>
        </w:rPr>
      </w:pPr>
    </w:p>
    <w:p w14:paraId="4846CA71" w14:textId="77777777" w:rsidR="001C5772" w:rsidRPr="00BC3DD6" w:rsidRDefault="001C5772" w:rsidP="001C5772">
      <w:pPr>
        <w:numPr>
          <w:ilvl w:val="0"/>
          <w:numId w:val="32"/>
        </w:numPr>
        <w:spacing w:after="0" w:line="240" w:lineRule="auto"/>
        <w:jc w:val="both"/>
        <w:rPr>
          <w:rFonts w:ascii="Calibri" w:hAnsi="Calibri" w:cs="Calibri"/>
          <w:sz w:val="20"/>
          <w:szCs w:val="20"/>
        </w:rPr>
      </w:pPr>
      <w:r w:rsidRPr="00BC3DD6">
        <w:rPr>
          <w:rFonts w:ascii="Calibri" w:hAnsi="Calibri" w:cs="Calibri"/>
          <w:sz w:val="20"/>
          <w:szCs w:val="20"/>
        </w:rPr>
        <w:t>Beginning Q3 2022, the submission of the DES-CPPI Form L (in excel format) and its scanned Certification Form, which has been duly notarized and signed by the authorized officials of the banks and saved as a Portable Document Format (PDF), shall follow the prescribed submission deadline indicated in said Circular.</w:t>
      </w:r>
    </w:p>
    <w:p w14:paraId="5ED1251E" w14:textId="77777777" w:rsidR="001C5772" w:rsidRPr="00BC3DD6" w:rsidRDefault="001C5772" w:rsidP="001C5772">
      <w:pPr>
        <w:spacing w:after="0" w:line="240" w:lineRule="auto"/>
        <w:jc w:val="both"/>
        <w:rPr>
          <w:rFonts w:ascii="Calibri" w:hAnsi="Calibri" w:cs="Calibri"/>
          <w:sz w:val="20"/>
          <w:szCs w:val="20"/>
        </w:rPr>
      </w:pPr>
    </w:p>
    <w:p w14:paraId="1889E876" w14:textId="77777777" w:rsidR="001C5772" w:rsidRPr="00BC3DD6" w:rsidRDefault="001C5772" w:rsidP="001C5772">
      <w:pPr>
        <w:numPr>
          <w:ilvl w:val="0"/>
          <w:numId w:val="32"/>
        </w:numPr>
        <w:spacing w:after="0" w:line="240" w:lineRule="auto"/>
        <w:jc w:val="both"/>
        <w:rPr>
          <w:rFonts w:ascii="Calibri" w:hAnsi="Calibri" w:cs="Calibri"/>
          <w:sz w:val="20"/>
          <w:szCs w:val="20"/>
        </w:rPr>
      </w:pPr>
      <w:r w:rsidRPr="00BC3DD6">
        <w:rPr>
          <w:rFonts w:ascii="Calibri" w:hAnsi="Calibri" w:cs="Calibri"/>
          <w:sz w:val="20"/>
          <w:szCs w:val="20"/>
        </w:rPr>
        <w:t>The QRACP shall be electronically submitted to e-mail address: at eslisdes@bsp.gov.ph. In the subject line of the email, the name of the bank and reference period should be indicated following the format below: "</w:t>
      </w:r>
      <w:proofErr w:type="spellStart"/>
      <w:r w:rsidRPr="00BC3DD6">
        <w:rPr>
          <w:rFonts w:ascii="Calibri" w:hAnsi="Calibri" w:cs="Calibri"/>
          <w:sz w:val="20"/>
          <w:szCs w:val="20"/>
        </w:rPr>
        <w:t>CPPf</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cBank</w:t>
      </w:r>
      <w:proofErr w:type="spellEnd"/>
      <w:r w:rsidRPr="00BC3DD6">
        <w:rPr>
          <w:rFonts w:ascii="Calibri" w:hAnsi="Calibri" w:cs="Calibri"/>
          <w:sz w:val="20"/>
          <w:szCs w:val="20"/>
        </w:rPr>
        <w:t xml:space="preserve"> name&gt;</w:t>
      </w:r>
      <w:proofErr w:type="gramStart"/>
      <w:r w:rsidRPr="00BC3DD6">
        <w:rPr>
          <w:rFonts w:ascii="Calibri" w:hAnsi="Calibri" w:cs="Calibri"/>
          <w:sz w:val="20"/>
          <w:szCs w:val="20"/>
        </w:rPr>
        <w:t>, ,</w:t>
      </w:r>
      <w:proofErr w:type="gramEnd"/>
      <w:r w:rsidRPr="00BC3DD6">
        <w:rPr>
          <w:rFonts w:ascii="Calibri" w:hAnsi="Calibri" w:cs="Calibri"/>
          <w:sz w:val="20"/>
          <w:szCs w:val="20"/>
        </w:rPr>
        <w:t xml:space="preserve"> "e.g., "CPP| Bank One, Q1 2019"</w:t>
      </w:r>
    </w:p>
    <w:p w14:paraId="7DA7B44E" w14:textId="77777777" w:rsidR="001C5772" w:rsidRPr="00BC3DD6" w:rsidRDefault="001C5772" w:rsidP="001C5772">
      <w:pPr>
        <w:spacing w:after="0" w:line="240" w:lineRule="auto"/>
        <w:jc w:val="both"/>
        <w:rPr>
          <w:rFonts w:ascii="Calibri" w:hAnsi="Calibri" w:cs="Calibri"/>
          <w:sz w:val="20"/>
          <w:szCs w:val="20"/>
        </w:rPr>
      </w:pPr>
    </w:p>
    <w:p w14:paraId="25BD1271" w14:textId="77777777" w:rsidR="001C5772" w:rsidRPr="00BC3DD6" w:rsidRDefault="001C5772" w:rsidP="001C5772">
      <w:pPr>
        <w:numPr>
          <w:ilvl w:val="0"/>
          <w:numId w:val="32"/>
        </w:numPr>
        <w:spacing w:after="0" w:line="240" w:lineRule="auto"/>
        <w:jc w:val="both"/>
        <w:rPr>
          <w:rFonts w:ascii="Calibri" w:hAnsi="Calibri" w:cs="Calibri"/>
          <w:sz w:val="20"/>
          <w:szCs w:val="20"/>
        </w:rPr>
      </w:pPr>
      <w:r w:rsidRPr="00BC3DD6">
        <w:rPr>
          <w:rFonts w:ascii="Calibri" w:hAnsi="Calibri" w:cs="Calibri"/>
          <w:sz w:val="20"/>
          <w:szCs w:val="20"/>
        </w:rPr>
        <w:t>The file name of QRACP shall follow the prescribed format below: "Reference Quarter," €.8., "Q1 2019 QRACP Bank One"</w:t>
      </w:r>
    </w:p>
    <w:p w14:paraId="61794780" w14:textId="77777777" w:rsidR="001C5772" w:rsidRPr="00BC3DD6" w:rsidRDefault="001C5772" w:rsidP="001C5772">
      <w:pPr>
        <w:spacing w:after="0" w:line="240" w:lineRule="auto"/>
        <w:jc w:val="both"/>
        <w:rPr>
          <w:rFonts w:ascii="Calibri" w:hAnsi="Calibri" w:cs="Calibri"/>
          <w:sz w:val="20"/>
          <w:szCs w:val="20"/>
        </w:rPr>
      </w:pPr>
    </w:p>
    <w:p w14:paraId="04B8DA29" w14:textId="77777777" w:rsidR="001C5772" w:rsidRPr="00BC3DD6" w:rsidRDefault="001C5772" w:rsidP="001C5772">
      <w:pPr>
        <w:numPr>
          <w:ilvl w:val="0"/>
          <w:numId w:val="32"/>
        </w:numPr>
        <w:spacing w:after="0" w:line="240" w:lineRule="auto"/>
        <w:jc w:val="both"/>
        <w:rPr>
          <w:rFonts w:ascii="Calibri" w:hAnsi="Calibri" w:cs="Calibri"/>
          <w:sz w:val="20"/>
          <w:szCs w:val="20"/>
        </w:rPr>
      </w:pPr>
      <w:r w:rsidRPr="00BC3DD6">
        <w:rPr>
          <w:rFonts w:ascii="Calibri" w:hAnsi="Calibri" w:cs="Calibri"/>
          <w:sz w:val="20"/>
          <w:szCs w:val="20"/>
        </w:rPr>
        <w:t>Non-compliance with the reporting standards and failure to submit within the prescribed submission deadline shall be subject to monetary penalties applicable under Manual of Regulations for Banks.</w:t>
      </w:r>
    </w:p>
    <w:p w14:paraId="42961682" w14:textId="77777777" w:rsidR="001C5772" w:rsidRPr="00BC3DD6" w:rsidRDefault="001C5772" w:rsidP="001C5772">
      <w:pPr>
        <w:spacing w:after="0" w:line="240" w:lineRule="auto"/>
        <w:jc w:val="both"/>
        <w:rPr>
          <w:rFonts w:ascii="Calibri" w:hAnsi="Calibri" w:cs="Calibri"/>
          <w:sz w:val="20"/>
          <w:szCs w:val="20"/>
        </w:rPr>
      </w:pPr>
    </w:p>
    <w:p w14:paraId="12EA5B3C" w14:textId="77777777" w:rsidR="001C5772" w:rsidRPr="00BC3DD6" w:rsidRDefault="001C5772" w:rsidP="001C5772">
      <w:pPr>
        <w:spacing w:after="0" w:line="240" w:lineRule="auto"/>
        <w:jc w:val="both"/>
        <w:rPr>
          <w:rFonts w:ascii="Calibri" w:hAnsi="Calibri" w:cs="Calibri"/>
          <w:sz w:val="20"/>
          <w:szCs w:val="20"/>
        </w:rPr>
      </w:pPr>
    </w:p>
    <w:p w14:paraId="43BAD6C0"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Memorandum No. 001: Amendments to the Standard Operating Procedures for Philippine Holidays</w:t>
      </w:r>
    </w:p>
    <w:p w14:paraId="71CD684D"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January 11, 2021</w:t>
      </w:r>
    </w:p>
    <w:p w14:paraId="70274908" w14:textId="77777777" w:rsidR="001C5772" w:rsidRDefault="001C5772" w:rsidP="001C5772">
      <w:pPr>
        <w:spacing w:after="0" w:line="240" w:lineRule="auto"/>
        <w:jc w:val="both"/>
        <w:rPr>
          <w:rFonts w:ascii="Calibri" w:hAnsi="Calibri" w:cs="Calibri"/>
          <w:bCs/>
          <w:i/>
          <w:iCs/>
          <w:sz w:val="20"/>
          <w:szCs w:val="20"/>
        </w:rPr>
      </w:pPr>
    </w:p>
    <w:p w14:paraId="2E29A9E0"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Cs/>
          <w:i/>
          <w:iCs/>
          <w:sz w:val="20"/>
          <w:szCs w:val="20"/>
        </w:rPr>
        <w:t>Memorandum No. 001 provides for the a</w:t>
      </w:r>
      <w:r w:rsidRPr="00BC3DD6">
        <w:rPr>
          <w:rFonts w:ascii="Calibri" w:hAnsi="Calibri" w:cs="Calibri"/>
          <w:bCs/>
          <w:i/>
          <w:sz w:val="20"/>
          <w:szCs w:val="20"/>
        </w:rPr>
        <w:t>mendments to the Standard Operating Procedures (SOP) for Philippine Holidays.</w:t>
      </w:r>
    </w:p>
    <w:p w14:paraId="0F66B47E" w14:textId="77777777" w:rsidR="001C5772" w:rsidRPr="00BC3DD6" w:rsidRDefault="001C5772" w:rsidP="001C5772">
      <w:pPr>
        <w:spacing w:after="0" w:line="240" w:lineRule="auto"/>
        <w:jc w:val="both"/>
        <w:rPr>
          <w:rFonts w:ascii="Calibri" w:hAnsi="Calibri" w:cs="Calibri"/>
          <w:bCs/>
          <w:sz w:val="20"/>
          <w:szCs w:val="20"/>
        </w:rPr>
      </w:pPr>
    </w:p>
    <w:p w14:paraId="72270F80"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This shall cover all Banks and Quasi-Banks (QBs).</w:t>
      </w:r>
    </w:p>
    <w:p w14:paraId="5F8A9783" w14:textId="77777777" w:rsidR="001C5772" w:rsidRPr="00BC3DD6" w:rsidRDefault="001C5772" w:rsidP="001C5772">
      <w:pPr>
        <w:spacing w:after="0" w:line="240" w:lineRule="auto"/>
        <w:jc w:val="both"/>
        <w:rPr>
          <w:rFonts w:ascii="Calibri" w:hAnsi="Calibri" w:cs="Calibri"/>
          <w:sz w:val="20"/>
          <w:szCs w:val="20"/>
        </w:rPr>
      </w:pPr>
    </w:p>
    <w:p w14:paraId="62E359B9"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The Standard Operating Procedures (SOP) for Philippine Holidays as provided under Appendix 88/Q-Sf of the Manual of Regulations for Banks (MORB)/Manual of Regulations for Non-Bank Financial Institutions (MORNBFI), respectively, is hereby amended as part of the thrust of the </w:t>
      </w: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 xml:space="preserve"> to support the domestic financial markets.</w:t>
      </w:r>
    </w:p>
    <w:p w14:paraId="46F605F1" w14:textId="77777777" w:rsidR="001C5772" w:rsidRPr="00BC3DD6" w:rsidRDefault="001C5772" w:rsidP="001C5772">
      <w:pPr>
        <w:spacing w:after="0" w:line="240" w:lineRule="auto"/>
        <w:jc w:val="both"/>
        <w:rPr>
          <w:rFonts w:ascii="Calibri" w:hAnsi="Calibri" w:cs="Calibri"/>
          <w:sz w:val="20"/>
          <w:szCs w:val="20"/>
        </w:rPr>
      </w:pPr>
    </w:p>
    <w:p w14:paraId="674ED26E"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The revised SOP aims to provide clarity on the </w:t>
      </w: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 xml:space="preserve"> services available on holidays involving only the public sector and in emergency situations. It also provides the treatment of said days for purposes of determining compliance with the reserve requirements. </w:t>
      </w:r>
    </w:p>
    <w:p w14:paraId="55EBA4AB" w14:textId="77777777" w:rsidR="001C5772" w:rsidRPr="00BC3DD6" w:rsidRDefault="001C5772" w:rsidP="001C5772">
      <w:pPr>
        <w:spacing w:after="0" w:line="240" w:lineRule="auto"/>
        <w:jc w:val="both"/>
        <w:rPr>
          <w:rFonts w:ascii="Calibri" w:hAnsi="Calibri" w:cs="Calibri"/>
          <w:sz w:val="20"/>
          <w:szCs w:val="20"/>
        </w:rPr>
      </w:pPr>
    </w:p>
    <w:p w14:paraId="4C1924BD" w14:textId="77777777" w:rsidR="001C5772" w:rsidRPr="00BC3DD6" w:rsidRDefault="001C5772" w:rsidP="001C5772">
      <w:pPr>
        <w:spacing w:after="0" w:line="240" w:lineRule="auto"/>
        <w:jc w:val="both"/>
        <w:rPr>
          <w:rFonts w:ascii="Calibri" w:hAnsi="Calibri" w:cs="Calibri"/>
          <w:sz w:val="20"/>
          <w:szCs w:val="20"/>
        </w:rPr>
      </w:pPr>
    </w:p>
    <w:p w14:paraId="7BA340B8"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Memorandum No. 002: Regulatory Relief on the Non-imposition of Sanctions for Breach in Single Borrower’s Limit by Foreign Bank Branches Established Prior to Republic Act No. 10641</w:t>
      </w:r>
    </w:p>
    <w:p w14:paraId="40F6DFC9"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January 4, 2021</w:t>
      </w:r>
    </w:p>
    <w:p w14:paraId="59F3EF1F" w14:textId="77777777" w:rsidR="001C5772" w:rsidRPr="00BC3DD6" w:rsidRDefault="001C5772" w:rsidP="001C5772">
      <w:pPr>
        <w:spacing w:after="0" w:line="240" w:lineRule="auto"/>
        <w:jc w:val="both"/>
        <w:rPr>
          <w:rFonts w:ascii="Calibri" w:hAnsi="Calibri" w:cs="Calibri"/>
          <w:b/>
          <w:bCs/>
          <w:sz w:val="20"/>
          <w:szCs w:val="20"/>
        </w:rPr>
      </w:pPr>
    </w:p>
    <w:p w14:paraId="7E294E93"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Cs/>
          <w:i/>
          <w:iCs/>
          <w:sz w:val="20"/>
          <w:szCs w:val="20"/>
        </w:rPr>
        <w:t xml:space="preserve">Memorandum No. 002 provides for the </w:t>
      </w:r>
      <w:r w:rsidRPr="00BC3DD6">
        <w:rPr>
          <w:rFonts w:ascii="Calibri" w:hAnsi="Calibri" w:cs="Calibri"/>
          <w:bCs/>
          <w:i/>
          <w:sz w:val="20"/>
          <w:szCs w:val="20"/>
        </w:rPr>
        <w:t>Regulatory Relief on the Non-imposition of Sanctions for Breach in Single Borrower’s Limit by Foreign Bank Branches Established Prior to Republic Act No. 10641.</w:t>
      </w:r>
    </w:p>
    <w:p w14:paraId="11B86733" w14:textId="77777777" w:rsidR="001C5772" w:rsidRPr="00BC3DD6" w:rsidRDefault="001C5772" w:rsidP="001C5772">
      <w:pPr>
        <w:spacing w:after="0" w:line="240" w:lineRule="auto"/>
        <w:jc w:val="both"/>
        <w:rPr>
          <w:rFonts w:ascii="Calibri" w:hAnsi="Calibri" w:cs="Calibri"/>
          <w:bCs/>
          <w:sz w:val="20"/>
          <w:szCs w:val="20"/>
        </w:rPr>
      </w:pPr>
    </w:p>
    <w:p w14:paraId="6A5BC480"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The regulatory relief shall cover all Foreign Bank Branches Established Prior to Republic Act No. 10641.</w:t>
      </w:r>
    </w:p>
    <w:p w14:paraId="5D8E4C72" w14:textId="77777777" w:rsidR="001C5772" w:rsidRPr="00BC3DD6" w:rsidRDefault="001C5772" w:rsidP="001C5772">
      <w:pPr>
        <w:spacing w:after="0" w:line="240" w:lineRule="auto"/>
        <w:jc w:val="both"/>
        <w:rPr>
          <w:rFonts w:ascii="Calibri" w:hAnsi="Calibri" w:cs="Calibri"/>
          <w:sz w:val="20"/>
          <w:szCs w:val="20"/>
        </w:rPr>
      </w:pPr>
    </w:p>
    <w:p w14:paraId="3717AB79"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Existing foreign bank branches established in the Philippines prior to Republic Act No. 10641 that breach the SBL shall not be subject to sanctions prescribed under Section 362 of the MORB until 31 December 2O21: Provided, That the amount of the new loan, credit accommodation, or guarantee extended as well as the restructured, renewed, and refinanced existing credit exposures, beginning 01 January 2021 until 31 December 2021, shall not exceed the prescribed percentage limit using as reference point twice the level of capital as defined under Section 103 of the MORB (Capital requirements of foreign bank).</w:t>
      </w:r>
    </w:p>
    <w:p w14:paraId="221A16AD" w14:textId="77777777" w:rsidR="001C5772" w:rsidRPr="00BC3DD6" w:rsidRDefault="001C5772" w:rsidP="001C5772">
      <w:pPr>
        <w:spacing w:after="0" w:line="240" w:lineRule="auto"/>
        <w:jc w:val="both"/>
        <w:rPr>
          <w:rFonts w:ascii="Calibri" w:hAnsi="Calibri" w:cs="Calibri"/>
          <w:sz w:val="20"/>
          <w:szCs w:val="20"/>
        </w:rPr>
      </w:pPr>
    </w:p>
    <w:p w14:paraId="5DE4BCE5" w14:textId="77777777" w:rsidR="001C5772" w:rsidRPr="00BC3DD6" w:rsidRDefault="001C5772" w:rsidP="001C5772">
      <w:pPr>
        <w:spacing w:after="0" w:line="240" w:lineRule="auto"/>
        <w:jc w:val="both"/>
        <w:rPr>
          <w:rFonts w:ascii="Calibri" w:hAnsi="Calibri" w:cs="Calibri"/>
          <w:sz w:val="20"/>
          <w:szCs w:val="20"/>
        </w:rPr>
      </w:pPr>
    </w:p>
    <w:p w14:paraId="2B2F7310"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 xml:space="preserve">Memorandum No. 003: Guidelines on the </w:t>
      </w:r>
      <w:r w:rsidRPr="00BC3DD6">
        <w:rPr>
          <w:rFonts w:ascii="Calibri" w:hAnsi="Calibri" w:cs="Calibri"/>
          <w:b/>
          <w:sz w:val="20"/>
          <w:szCs w:val="20"/>
        </w:rPr>
        <w:t>Electronic Submission of the Report on Reclassification of Debt Securities (RRDS) Out of the Fair Value Category</w:t>
      </w:r>
    </w:p>
    <w:p w14:paraId="565DE66E"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January 8, 2021</w:t>
      </w:r>
    </w:p>
    <w:p w14:paraId="6B5DFDF3" w14:textId="77777777" w:rsidR="001C5772" w:rsidRPr="00BC3DD6" w:rsidRDefault="001C5772" w:rsidP="001C5772">
      <w:pPr>
        <w:spacing w:after="0" w:line="240" w:lineRule="auto"/>
        <w:jc w:val="both"/>
        <w:rPr>
          <w:rFonts w:ascii="Calibri" w:hAnsi="Calibri" w:cs="Calibri"/>
          <w:b/>
          <w:bCs/>
          <w:sz w:val="20"/>
          <w:szCs w:val="20"/>
        </w:rPr>
      </w:pPr>
    </w:p>
    <w:p w14:paraId="0FE43403" w14:textId="77777777" w:rsidR="001C5772" w:rsidRPr="00BC3DD6" w:rsidRDefault="001C5772" w:rsidP="001C5772">
      <w:pPr>
        <w:spacing w:after="0" w:line="240" w:lineRule="auto"/>
        <w:jc w:val="both"/>
        <w:rPr>
          <w:rFonts w:ascii="Calibri" w:hAnsi="Calibri" w:cs="Calibri"/>
          <w:bCs/>
          <w:sz w:val="20"/>
          <w:szCs w:val="20"/>
        </w:rPr>
      </w:pPr>
      <w:r w:rsidRPr="00BC3DD6">
        <w:rPr>
          <w:rFonts w:ascii="Calibri" w:hAnsi="Calibri" w:cs="Calibri"/>
          <w:bCs/>
          <w:i/>
          <w:iCs/>
          <w:sz w:val="20"/>
          <w:szCs w:val="20"/>
        </w:rPr>
        <w:t xml:space="preserve">Memorandum No. 003 provides for </w:t>
      </w:r>
      <w:r w:rsidRPr="00BC3DD6">
        <w:rPr>
          <w:rFonts w:ascii="Calibri" w:hAnsi="Calibri" w:cs="Calibri"/>
          <w:bCs/>
          <w:i/>
          <w:sz w:val="20"/>
          <w:szCs w:val="20"/>
        </w:rPr>
        <w:t xml:space="preserve">guidelines on the </w:t>
      </w:r>
      <w:r w:rsidRPr="00BC3DD6">
        <w:rPr>
          <w:rFonts w:ascii="Calibri" w:hAnsi="Calibri" w:cs="Calibri"/>
          <w:i/>
          <w:sz w:val="20"/>
          <w:szCs w:val="20"/>
        </w:rPr>
        <w:t>electronic submission of the Report on Reclassification of Debt Securities (RRDS) out of the Fair Value Category.</w:t>
      </w:r>
    </w:p>
    <w:p w14:paraId="40AC1DBF"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The guidelines shall cover all BSP Supervised Financial Institutions (BSFIs).</w:t>
      </w:r>
    </w:p>
    <w:p w14:paraId="25FE0D3E" w14:textId="77777777" w:rsidR="001C5772" w:rsidRPr="00BC3DD6" w:rsidRDefault="001C5772" w:rsidP="001C5772">
      <w:pPr>
        <w:spacing w:after="0" w:line="240" w:lineRule="auto"/>
        <w:jc w:val="both"/>
        <w:rPr>
          <w:rFonts w:ascii="Calibri" w:hAnsi="Calibri" w:cs="Calibri"/>
          <w:sz w:val="20"/>
          <w:szCs w:val="20"/>
        </w:rPr>
      </w:pPr>
    </w:p>
    <w:p w14:paraId="1E4EC9BC"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The following guidelines shall be observed for the electronic submission of the RRDS on or before 29 January 2021:</w:t>
      </w:r>
    </w:p>
    <w:p w14:paraId="4F9DEC57" w14:textId="77777777" w:rsidR="001C5772" w:rsidRPr="00BC3DD6" w:rsidRDefault="001C5772" w:rsidP="001C5772">
      <w:pPr>
        <w:spacing w:after="0" w:line="240" w:lineRule="auto"/>
        <w:jc w:val="both"/>
        <w:rPr>
          <w:rFonts w:ascii="Calibri" w:hAnsi="Calibri" w:cs="Calibri"/>
          <w:sz w:val="20"/>
          <w:szCs w:val="20"/>
        </w:rPr>
      </w:pPr>
    </w:p>
    <w:p w14:paraId="7880A489" w14:textId="77777777" w:rsidR="001C5772" w:rsidRPr="00BC3DD6" w:rsidRDefault="001C5772" w:rsidP="001C5772">
      <w:pPr>
        <w:numPr>
          <w:ilvl w:val="0"/>
          <w:numId w:val="33"/>
        </w:numPr>
        <w:spacing w:after="0" w:line="240" w:lineRule="auto"/>
        <w:jc w:val="both"/>
        <w:rPr>
          <w:rFonts w:ascii="Calibri" w:hAnsi="Calibri" w:cs="Calibri"/>
          <w:sz w:val="20"/>
          <w:szCs w:val="20"/>
        </w:rPr>
      </w:pPr>
      <w:r w:rsidRPr="00BC3DD6">
        <w:rPr>
          <w:rFonts w:ascii="Calibri" w:hAnsi="Calibri" w:cs="Calibri"/>
          <w:sz w:val="20"/>
          <w:szCs w:val="20"/>
        </w:rPr>
        <w:t xml:space="preserve">The prescribed Data Entry Template (DET) and the corresponding Control </w:t>
      </w:r>
      <w:proofErr w:type="spellStart"/>
      <w:r w:rsidRPr="00BC3DD6">
        <w:rPr>
          <w:rFonts w:ascii="Calibri" w:hAnsi="Calibri" w:cs="Calibri"/>
          <w:sz w:val="20"/>
          <w:szCs w:val="20"/>
        </w:rPr>
        <w:t>Prooflist</w:t>
      </w:r>
      <w:proofErr w:type="spellEnd"/>
      <w:r w:rsidRPr="00BC3DD6">
        <w:rPr>
          <w:rFonts w:ascii="Calibri" w:hAnsi="Calibri" w:cs="Calibri"/>
          <w:sz w:val="20"/>
          <w:szCs w:val="20"/>
        </w:rPr>
        <w:t xml:space="preserve"> (CP) of the RRDS can be downloaded from </w:t>
      </w:r>
      <w:r w:rsidRPr="00BC3DD6">
        <w:rPr>
          <w:rFonts w:ascii="Calibri" w:hAnsi="Calibri" w:cs="Calibri"/>
          <w:sz w:val="20"/>
          <w:szCs w:val="20"/>
          <w:u w:val="single"/>
        </w:rPr>
        <w:t>http://www.bsp.gov.ph/SES/reporting_templates.</w:t>
      </w:r>
    </w:p>
    <w:p w14:paraId="7A35214A" w14:textId="77777777" w:rsidR="001C5772" w:rsidRPr="00BC3DD6" w:rsidRDefault="001C5772" w:rsidP="001C5772">
      <w:pPr>
        <w:spacing w:after="0" w:line="240" w:lineRule="auto"/>
        <w:jc w:val="both"/>
        <w:rPr>
          <w:rFonts w:ascii="Calibri" w:hAnsi="Calibri" w:cs="Calibri"/>
          <w:sz w:val="20"/>
          <w:szCs w:val="20"/>
        </w:rPr>
      </w:pPr>
    </w:p>
    <w:p w14:paraId="634B0818" w14:textId="77777777" w:rsidR="001C5772" w:rsidRPr="00BC3DD6" w:rsidRDefault="001C5772" w:rsidP="001C5772">
      <w:pPr>
        <w:numPr>
          <w:ilvl w:val="0"/>
          <w:numId w:val="33"/>
        </w:numPr>
        <w:spacing w:after="0" w:line="240" w:lineRule="auto"/>
        <w:jc w:val="both"/>
        <w:rPr>
          <w:rFonts w:ascii="Calibri" w:hAnsi="Calibri" w:cs="Calibri"/>
          <w:sz w:val="20"/>
          <w:szCs w:val="20"/>
        </w:rPr>
      </w:pPr>
      <w:r w:rsidRPr="00BC3DD6">
        <w:rPr>
          <w:rFonts w:ascii="Calibri" w:hAnsi="Calibri" w:cs="Calibri"/>
          <w:sz w:val="20"/>
          <w:szCs w:val="20"/>
        </w:rPr>
        <w:t xml:space="preserve">The DET with its corresponding scanned CP in Portable Document Format (PDF) duly signed by the authorized officials of the BSFI shall be electronically transmitted on or before 29 January 2021, to the prescribed e-mail address, </w:t>
      </w:r>
      <w:r w:rsidRPr="00BC3DD6">
        <w:rPr>
          <w:rFonts w:ascii="Calibri" w:hAnsi="Calibri" w:cs="Calibri"/>
          <w:b/>
          <w:sz w:val="20"/>
          <w:szCs w:val="20"/>
        </w:rPr>
        <w:t>DSA-RRDS@bsp.gov.ph</w:t>
      </w:r>
      <w:r w:rsidRPr="00BC3DD6">
        <w:rPr>
          <w:rFonts w:ascii="Calibri" w:hAnsi="Calibri" w:cs="Calibri"/>
          <w:sz w:val="20"/>
          <w:szCs w:val="20"/>
        </w:rPr>
        <w:t>, using the required format for the subject, as follows:</w:t>
      </w:r>
    </w:p>
    <w:p w14:paraId="5082766E" w14:textId="77777777" w:rsidR="001C5772" w:rsidRPr="00BC3DD6" w:rsidRDefault="001C5772" w:rsidP="001C5772">
      <w:pPr>
        <w:spacing w:after="0" w:line="240" w:lineRule="auto"/>
        <w:jc w:val="both"/>
        <w:rPr>
          <w:rFonts w:ascii="Calibri" w:hAnsi="Calibri" w:cs="Calibri"/>
          <w:sz w:val="20"/>
          <w:szCs w:val="20"/>
        </w:rPr>
      </w:pPr>
    </w:p>
    <w:p w14:paraId="38064183"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“RRDS &lt;space&gt; &lt;Name of BSFI&gt;, (space&gt; &lt;Reference Period&gt;, as illustrated below:</w:t>
      </w:r>
    </w:p>
    <w:p w14:paraId="630C197A" w14:textId="77777777" w:rsidR="001C5772" w:rsidRPr="00BC3DD6" w:rsidRDefault="001C5772" w:rsidP="001C5772">
      <w:pPr>
        <w:spacing w:after="0" w:line="240" w:lineRule="auto"/>
        <w:jc w:val="both"/>
        <w:rPr>
          <w:rFonts w:ascii="Calibri" w:hAnsi="Calibri" w:cs="Calibri"/>
          <w:sz w:val="20"/>
          <w:szCs w:val="20"/>
        </w:rPr>
      </w:pPr>
    </w:p>
    <w:p w14:paraId="623A43D2"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To</w:t>
      </w:r>
      <w:r w:rsidRPr="00BC3DD6">
        <w:rPr>
          <w:rFonts w:ascii="Calibri" w:hAnsi="Calibri" w:cs="Calibri"/>
          <w:sz w:val="20"/>
          <w:szCs w:val="20"/>
        </w:rPr>
        <w:tab/>
        <w:t xml:space="preserve">: </w:t>
      </w:r>
      <w:hyperlink r:id="rId17" w:history="1">
        <w:r w:rsidRPr="00BC3DD6">
          <w:rPr>
            <w:rStyle w:val="Hyperlink"/>
            <w:rFonts w:ascii="Calibri" w:hAnsi="Calibri" w:cs="Calibri"/>
            <w:sz w:val="20"/>
            <w:szCs w:val="20"/>
          </w:rPr>
          <w:t>DSA-RRDS@bsp.gov.ph</w:t>
        </w:r>
      </w:hyperlink>
    </w:p>
    <w:p w14:paraId="7048BBB5"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Subject</w:t>
      </w:r>
      <w:r w:rsidRPr="00BC3DD6">
        <w:rPr>
          <w:rFonts w:ascii="Calibri" w:hAnsi="Calibri" w:cs="Calibri"/>
          <w:sz w:val="20"/>
          <w:szCs w:val="20"/>
        </w:rPr>
        <w:tab/>
        <w:t>: RRDS &lt;Name of BSFI&gt;, DD MMMM YYYY (e.g. 30 September 2020)</w:t>
      </w:r>
    </w:p>
    <w:p w14:paraId="31560897" w14:textId="77777777" w:rsidR="001C5772" w:rsidRPr="00BC3DD6" w:rsidRDefault="001C5772" w:rsidP="001C5772">
      <w:pPr>
        <w:spacing w:after="0" w:line="240" w:lineRule="auto"/>
        <w:jc w:val="both"/>
        <w:rPr>
          <w:rFonts w:ascii="Calibri" w:hAnsi="Calibri" w:cs="Calibri"/>
          <w:sz w:val="20"/>
          <w:szCs w:val="20"/>
        </w:rPr>
      </w:pPr>
    </w:p>
    <w:p w14:paraId="4C9449D1"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And using the following prescribed file names and file format:</w:t>
      </w:r>
    </w:p>
    <w:p w14:paraId="6FE0C345" w14:textId="77777777" w:rsidR="001C5772" w:rsidRPr="00BC3DD6" w:rsidRDefault="001C5772" w:rsidP="001C5772">
      <w:pPr>
        <w:spacing w:after="0" w:line="240" w:lineRule="auto"/>
        <w:jc w:val="both"/>
        <w:rPr>
          <w:rFonts w:ascii="Calibri" w:hAnsi="Calibri" w:cs="Calibri"/>
          <w:sz w:val="20"/>
          <w:szCs w:val="20"/>
        </w:rPr>
      </w:pPr>
    </w:p>
    <w:p w14:paraId="1CB020EF"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noProof/>
          <w:sz w:val="20"/>
          <w:szCs w:val="20"/>
        </w:rPr>
        <w:drawing>
          <wp:inline distT="0" distB="0" distL="0" distR="0" wp14:anchorId="79EB3B31" wp14:editId="504AC6C7">
            <wp:extent cx="4311015" cy="674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44" t="38746" r="56667" b="51909"/>
                    <a:stretch/>
                  </pic:blipFill>
                  <pic:spPr bwMode="auto">
                    <a:xfrm>
                      <a:off x="0" y="0"/>
                      <a:ext cx="4433364" cy="693770"/>
                    </a:xfrm>
                    <a:prstGeom prst="rect">
                      <a:avLst/>
                    </a:prstGeom>
                    <a:ln>
                      <a:noFill/>
                    </a:ln>
                    <a:extLst>
                      <a:ext uri="{53640926-AAD7-44D8-BBD7-CCE9431645EC}">
                        <a14:shadowObscured xmlns:a14="http://schemas.microsoft.com/office/drawing/2010/main"/>
                      </a:ext>
                    </a:extLst>
                  </pic:spPr>
                </pic:pic>
              </a:graphicData>
            </a:graphic>
          </wp:inline>
        </w:drawing>
      </w:r>
    </w:p>
    <w:p w14:paraId="2BEC35D6" w14:textId="77777777" w:rsidR="001C5772" w:rsidRPr="00BC3DD6" w:rsidRDefault="001C5772" w:rsidP="001C5772">
      <w:pPr>
        <w:numPr>
          <w:ilvl w:val="0"/>
          <w:numId w:val="33"/>
        </w:numPr>
        <w:spacing w:after="0" w:line="240" w:lineRule="auto"/>
        <w:jc w:val="both"/>
        <w:rPr>
          <w:rFonts w:ascii="Calibri" w:hAnsi="Calibri" w:cs="Calibri"/>
          <w:sz w:val="20"/>
          <w:szCs w:val="20"/>
        </w:rPr>
      </w:pPr>
      <w:r w:rsidRPr="00BC3DD6">
        <w:rPr>
          <w:rFonts w:ascii="Calibri" w:hAnsi="Calibri" w:cs="Calibri"/>
          <w:sz w:val="20"/>
          <w:szCs w:val="20"/>
        </w:rPr>
        <w:t>Only electronic submissions originating from officially registered email address/es of the BSFIs shall be recognized and accepted by the DSA. The acknowledgment receipt for the submitted RRDS report and its corresponding validation results, upon availability, will be sent to the same registered email address/es.</w:t>
      </w:r>
    </w:p>
    <w:p w14:paraId="1FDA1162" w14:textId="77777777" w:rsidR="001C5772" w:rsidRPr="00BC3DD6" w:rsidRDefault="001C5772" w:rsidP="001C5772">
      <w:pPr>
        <w:spacing w:after="0" w:line="240" w:lineRule="auto"/>
        <w:jc w:val="both"/>
        <w:rPr>
          <w:rFonts w:ascii="Calibri" w:hAnsi="Calibri" w:cs="Calibri"/>
          <w:sz w:val="20"/>
          <w:szCs w:val="20"/>
        </w:rPr>
      </w:pPr>
    </w:p>
    <w:p w14:paraId="0BD9B0C0" w14:textId="77777777" w:rsidR="001C5772" w:rsidRPr="00BC3DD6" w:rsidRDefault="001C5772" w:rsidP="001C5772">
      <w:pPr>
        <w:numPr>
          <w:ilvl w:val="0"/>
          <w:numId w:val="33"/>
        </w:numPr>
        <w:spacing w:after="0" w:line="240" w:lineRule="auto"/>
        <w:jc w:val="both"/>
        <w:rPr>
          <w:rFonts w:ascii="Calibri" w:hAnsi="Calibri" w:cs="Calibri"/>
          <w:sz w:val="20"/>
          <w:szCs w:val="20"/>
        </w:rPr>
      </w:pPr>
      <w:r w:rsidRPr="00BC3DD6">
        <w:rPr>
          <w:rFonts w:ascii="Calibri" w:hAnsi="Calibri" w:cs="Calibri"/>
          <w:sz w:val="20"/>
          <w:szCs w:val="20"/>
        </w:rPr>
        <w:t xml:space="preserve">Hard copy submission shall not be accepted. Covered BSFIs that are unable to transmit via email may submit the DET and its accompanying scanned CP using any portable storage device (e.g., USB flash drive) through </w:t>
      </w:r>
      <w:proofErr w:type="spellStart"/>
      <w:r w:rsidRPr="00BC3DD6">
        <w:rPr>
          <w:rFonts w:ascii="Calibri" w:hAnsi="Calibri" w:cs="Calibri"/>
          <w:sz w:val="20"/>
          <w:szCs w:val="20"/>
        </w:rPr>
        <w:t>messengerial</w:t>
      </w:r>
      <w:proofErr w:type="spellEnd"/>
      <w:r w:rsidRPr="00BC3DD6">
        <w:rPr>
          <w:rFonts w:ascii="Calibri" w:hAnsi="Calibri" w:cs="Calibri"/>
          <w:sz w:val="20"/>
          <w:szCs w:val="20"/>
        </w:rPr>
        <w:t xml:space="preserve"> or postal services within the prescribed deadline addressed to:</w:t>
      </w:r>
    </w:p>
    <w:p w14:paraId="395E688D" w14:textId="77777777" w:rsidR="001C5772" w:rsidRPr="00BC3DD6" w:rsidRDefault="001C5772" w:rsidP="001C5772">
      <w:pPr>
        <w:spacing w:after="0" w:line="240" w:lineRule="auto"/>
        <w:jc w:val="both"/>
        <w:rPr>
          <w:rFonts w:ascii="Calibri" w:hAnsi="Calibri" w:cs="Calibri"/>
          <w:sz w:val="20"/>
          <w:szCs w:val="20"/>
        </w:rPr>
      </w:pPr>
    </w:p>
    <w:p w14:paraId="75DDC8E7"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The Director </w:t>
      </w:r>
    </w:p>
    <w:p w14:paraId="58714465"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Department of Supervisory Analytics (DSA) </w:t>
      </w:r>
    </w:p>
    <w:p w14:paraId="0C59C7E9" w14:textId="77777777" w:rsidR="001C5772" w:rsidRPr="00BC3DD6" w:rsidRDefault="001C5772" w:rsidP="001C5772">
      <w:pPr>
        <w:spacing w:after="0" w:line="240" w:lineRule="auto"/>
        <w:jc w:val="both"/>
        <w:rPr>
          <w:rFonts w:ascii="Calibri" w:hAnsi="Calibri" w:cs="Calibri"/>
          <w:sz w:val="20"/>
          <w:szCs w:val="20"/>
        </w:rPr>
      </w:pP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 xml:space="preserve"> ng </w:t>
      </w:r>
      <w:proofErr w:type="spellStart"/>
      <w:r w:rsidRPr="00BC3DD6">
        <w:rPr>
          <w:rFonts w:ascii="Calibri" w:hAnsi="Calibri" w:cs="Calibri"/>
          <w:sz w:val="20"/>
          <w:szCs w:val="20"/>
        </w:rPr>
        <w:t>Pilipinas</w:t>
      </w:r>
      <w:proofErr w:type="spellEnd"/>
      <w:r w:rsidRPr="00BC3DD6">
        <w:rPr>
          <w:rFonts w:ascii="Calibri" w:hAnsi="Calibri" w:cs="Calibri"/>
          <w:sz w:val="20"/>
          <w:szCs w:val="20"/>
        </w:rPr>
        <w:t xml:space="preserve"> </w:t>
      </w:r>
    </w:p>
    <w:p w14:paraId="6B56FABA"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11th Floor, Multi-</w:t>
      </w:r>
      <w:proofErr w:type="spellStart"/>
      <w:r w:rsidRPr="00BC3DD6">
        <w:rPr>
          <w:rFonts w:ascii="Calibri" w:hAnsi="Calibri" w:cs="Calibri"/>
          <w:sz w:val="20"/>
          <w:szCs w:val="20"/>
        </w:rPr>
        <w:t>Storey</w:t>
      </w:r>
      <w:proofErr w:type="spellEnd"/>
      <w:r w:rsidRPr="00BC3DD6">
        <w:rPr>
          <w:rFonts w:ascii="Calibri" w:hAnsi="Calibri" w:cs="Calibri"/>
          <w:sz w:val="20"/>
          <w:szCs w:val="20"/>
        </w:rPr>
        <w:t xml:space="preserve"> Building </w:t>
      </w:r>
    </w:p>
    <w:p w14:paraId="02DD9D8C"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BSP Complex, A. Mabini Street, Malate </w:t>
      </w:r>
    </w:p>
    <w:p w14:paraId="0AF1AD99"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lastRenderedPageBreak/>
        <w:t>1004 Manila</w:t>
      </w:r>
    </w:p>
    <w:p w14:paraId="749D80BA" w14:textId="77777777" w:rsidR="001C5772" w:rsidRPr="00BC3DD6" w:rsidRDefault="001C5772" w:rsidP="001C5772">
      <w:pPr>
        <w:spacing w:after="0" w:line="240" w:lineRule="auto"/>
        <w:jc w:val="both"/>
        <w:rPr>
          <w:rFonts w:ascii="Calibri" w:hAnsi="Calibri" w:cs="Calibri"/>
          <w:sz w:val="20"/>
          <w:szCs w:val="20"/>
        </w:rPr>
      </w:pPr>
    </w:p>
    <w:p w14:paraId="59604E9A"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Note that the following may result in an erroneous or failed submission, among others: </w:t>
      </w:r>
    </w:p>
    <w:p w14:paraId="5EB4625B" w14:textId="77777777" w:rsidR="001C5772" w:rsidRPr="00BC3DD6" w:rsidRDefault="001C5772" w:rsidP="001C5772">
      <w:pPr>
        <w:spacing w:after="0" w:line="240" w:lineRule="auto"/>
        <w:jc w:val="both"/>
        <w:rPr>
          <w:rFonts w:ascii="Calibri" w:hAnsi="Calibri" w:cs="Calibri"/>
          <w:sz w:val="20"/>
          <w:szCs w:val="20"/>
        </w:rPr>
      </w:pPr>
    </w:p>
    <w:p w14:paraId="492E12ED" w14:textId="77777777" w:rsidR="001C5772" w:rsidRPr="00BC3DD6" w:rsidRDefault="001C5772" w:rsidP="001C5772">
      <w:pPr>
        <w:numPr>
          <w:ilvl w:val="0"/>
          <w:numId w:val="34"/>
        </w:numPr>
        <w:spacing w:after="0" w:line="240" w:lineRule="auto"/>
        <w:jc w:val="both"/>
        <w:rPr>
          <w:rFonts w:ascii="Calibri" w:hAnsi="Calibri" w:cs="Calibri"/>
          <w:sz w:val="20"/>
          <w:szCs w:val="20"/>
        </w:rPr>
      </w:pPr>
      <w:r w:rsidRPr="00BC3DD6">
        <w:rPr>
          <w:rFonts w:ascii="Calibri" w:hAnsi="Calibri" w:cs="Calibri"/>
          <w:sz w:val="20"/>
          <w:szCs w:val="20"/>
        </w:rPr>
        <w:t xml:space="preserve">Failure to use/send the correct/updated templates; </w:t>
      </w:r>
    </w:p>
    <w:p w14:paraId="0798EE16" w14:textId="77777777" w:rsidR="001C5772" w:rsidRPr="00BC3DD6" w:rsidRDefault="001C5772" w:rsidP="001C5772">
      <w:pPr>
        <w:numPr>
          <w:ilvl w:val="0"/>
          <w:numId w:val="34"/>
        </w:numPr>
        <w:spacing w:after="0" w:line="240" w:lineRule="auto"/>
        <w:jc w:val="both"/>
        <w:rPr>
          <w:rFonts w:ascii="Calibri" w:hAnsi="Calibri" w:cs="Calibri"/>
          <w:sz w:val="20"/>
          <w:szCs w:val="20"/>
        </w:rPr>
      </w:pPr>
      <w:r w:rsidRPr="00BC3DD6">
        <w:rPr>
          <w:rFonts w:ascii="Calibri" w:hAnsi="Calibri" w:cs="Calibri"/>
          <w:sz w:val="20"/>
          <w:szCs w:val="20"/>
        </w:rPr>
        <w:t xml:space="preserve">Failure to use an officially registered email address; </w:t>
      </w:r>
    </w:p>
    <w:p w14:paraId="10F26942" w14:textId="77777777" w:rsidR="001C5772" w:rsidRPr="00BC3DD6" w:rsidRDefault="001C5772" w:rsidP="001C5772">
      <w:pPr>
        <w:numPr>
          <w:ilvl w:val="0"/>
          <w:numId w:val="34"/>
        </w:numPr>
        <w:spacing w:after="0" w:line="240" w:lineRule="auto"/>
        <w:jc w:val="both"/>
        <w:rPr>
          <w:rFonts w:ascii="Calibri" w:hAnsi="Calibri" w:cs="Calibri"/>
          <w:sz w:val="20"/>
          <w:szCs w:val="20"/>
        </w:rPr>
      </w:pPr>
      <w:r w:rsidRPr="00BC3DD6">
        <w:rPr>
          <w:rFonts w:ascii="Calibri" w:hAnsi="Calibri" w:cs="Calibri"/>
          <w:sz w:val="20"/>
          <w:szCs w:val="20"/>
        </w:rPr>
        <w:t xml:space="preserve">Transmitting to the wrong email address; </w:t>
      </w:r>
    </w:p>
    <w:p w14:paraId="3EBCC359" w14:textId="77777777" w:rsidR="001C5772" w:rsidRPr="00BC3DD6" w:rsidRDefault="001C5772" w:rsidP="001C5772">
      <w:pPr>
        <w:numPr>
          <w:ilvl w:val="0"/>
          <w:numId w:val="34"/>
        </w:numPr>
        <w:spacing w:after="0" w:line="240" w:lineRule="auto"/>
        <w:jc w:val="both"/>
        <w:rPr>
          <w:rFonts w:ascii="Calibri" w:hAnsi="Calibri" w:cs="Calibri"/>
          <w:sz w:val="20"/>
          <w:szCs w:val="20"/>
        </w:rPr>
      </w:pPr>
      <w:r w:rsidRPr="00BC3DD6">
        <w:rPr>
          <w:rFonts w:ascii="Calibri" w:hAnsi="Calibri" w:cs="Calibri"/>
          <w:sz w:val="20"/>
          <w:szCs w:val="20"/>
        </w:rPr>
        <w:t xml:space="preserve">Failure to use the prescribed subject line or reporting date; </w:t>
      </w:r>
    </w:p>
    <w:p w14:paraId="6A9EF3EA" w14:textId="77777777" w:rsidR="001C5772" w:rsidRPr="00BC3DD6" w:rsidRDefault="001C5772" w:rsidP="001C5772">
      <w:pPr>
        <w:numPr>
          <w:ilvl w:val="0"/>
          <w:numId w:val="34"/>
        </w:numPr>
        <w:spacing w:after="0" w:line="240" w:lineRule="auto"/>
        <w:jc w:val="both"/>
        <w:rPr>
          <w:rFonts w:ascii="Calibri" w:hAnsi="Calibri" w:cs="Calibri"/>
          <w:sz w:val="20"/>
          <w:szCs w:val="20"/>
        </w:rPr>
      </w:pPr>
      <w:r w:rsidRPr="00BC3DD6">
        <w:rPr>
          <w:rFonts w:ascii="Calibri" w:hAnsi="Calibri" w:cs="Calibri"/>
          <w:sz w:val="20"/>
          <w:szCs w:val="20"/>
        </w:rPr>
        <w:t xml:space="preserve">Failure to use the prescribed file names; </w:t>
      </w:r>
    </w:p>
    <w:p w14:paraId="6F0035E4" w14:textId="77777777" w:rsidR="001C5772" w:rsidRPr="00BC3DD6" w:rsidRDefault="001C5772" w:rsidP="001C5772">
      <w:pPr>
        <w:numPr>
          <w:ilvl w:val="0"/>
          <w:numId w:val="34"/>
        </w:numPr>
        <w:spacing w:after="0" w:line="240" w:lineRule="auto"/>
        <w:jc w:val="both"/>
        <w:rPr>
          <w:rFonts w:ascii="Calibri" w:hAnsi="Calibri" w:cs="Calibri"/>
          <w:sz w:val="20"/>
          <w:szCs w:val="20"/>
        </w:rPr>
      </w:pPr>
      <w:r w:rsidRPr="00BC3DD6">
        <w:rPr>
          <w:rFonts w:ascii="Calibri" w:hAnsi="Calibri" w:cs="Calibri"/>
          <w:sz w:val="20"/>
          <w:szCs w:val="20"/>
        </w:rPr>
        <w:t xml:space="preserve">Failure to use the correct file formats; and </w:t>
      </w:r>
    </w:p>
    <w:p w14:paraId="76205C84" w14:textId="77777777" w:rsidR="001C5772" w:rsidRPr="00BC3DD6" w:rsidRDefault="001C5772" w:rsidP="001C5772">
      <w:pPr>
        <w:numPr>
          <w:ilvl w:val="0"/>
          <w:numId w:val="34"/>
        </w:numPr>
        <w:spacing w:after="0" w:line="240" w:lineRule="auto"/>
        <w:jc w:val="both"/>
        <w:rPr>
          <w:rFonts w:ascii="Calibri" w:hAnsi="Calibri" w:cs="Calibri"/>
          <w:sz w:val="20"/>
          <w:szCs w:val="20"/>
        </w:rPr>
      </w:pPr>
      <w:r w:rsidRPr="00BC3DD6">
        <w:rPr>
          <w:rFonts w:ascii="Calibri" w:hAnsi="Calibri" w:cs="Calibri"/>
          <w:sz w:val="20"/>
          <w:szCs w:val="20"/>
        </w:rPr>
        <w:t>Incomplete entry in the updated templates.</w:t>
      </w:r>
    </w:p>
    <w:p w14:paraId="528A3B59" w14:textId="77777777" w:rsidR="001C5772" w:rsidRPr="00BC3DD6" w:rsidRDefault="001C5772" w:rsidP="001C5772">
      <w:pPr>
        <w:spacing w:after="0" w:line="240" w:lineRule="auto"/>
        <w:jc w:val="both"/>
        <w:rPr>
          <w:rFonts w:ascii="Calibri" w:hAnsi="Calibri" w:cs="Calibri"/>
          <w:sz w:val="20"/>
          <w:szCs w:val="20"/>
        </w:rPr>
      </w:pPr>
    </w:p>
    <w:p w14:paraId="1C13A7DE" w14:textId="77777777" w:rsidR="001C5772" w:rsidRPr="00BC3DD6" w:rsidRDefault="001C5772" w:rsidP="001C5772">
      <w:pPr>
        <w:spacing w:after="0" w:line="240" w:lineRule="auto"/>
        <w:jc w:val="both"/>
        <w:rPr>
          <w:rFonts w:ascii="Calibri" w:hAnsi="Calibri" w:cs="Calibri"/>
          <w:sz w:val="20"/>
          <w:szCs w:val="20"/>
        </w:rPr>
      </w:pPr>
    </w:p>
    <w:p w14:paraId="391B9DA8"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Memorandum No. 004: Retention of Existing Procedures on Deposits and Withdrawals</w:t>
      </w:r>
    </w:p>
    <w:p w14:paraId="737BFDBC"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January 11, 2021</w:t>
      </w:r>
    </w:p>
    <w:p w14:paraId="76C20EFA" w14:textId="77777777" w:rsidR="001C5772" w:rsidRPr="00BC3DD6" w:rsidRDefault="001C5772" w:rsidP="001C5772">
      <w:pPr>
        <w:spacing w:after="0" w:line="240" w:lineRule="auto"/>
        <w:jc w:val="both"/>
        <w:rPr>
          <w:rFonts w:ascii="Calibri" w:hAnsi="Calibri" w:cs="Calibri"/>
          <w:bCs/>
          <w:i/>
          <w:sz w:val="20"/>
          <w:szCs w:val="20"/>
        </w:rPr>
      </w:pPr>
    </w:p>
    <w:p w14:paraId="0DC58C6D" w14:textId="77777777" w:rsidR="001C5772" w:rsidRPr="00BC3DD6" w:rsidRDefault="001C5772" w:rsidP="001C5772">
      <w:pPr>
        <w:spacing w:after="0" w:line="240" w:lineRule="auto"/>
        <w:jc w:val="both"/>
        <w:rPr>
          <w:rFonts w:ascii="Calibri" w:hAnsi="Calibri" w:cs="Calibri"/>
          <w:bCs/>
          <w:i/>
          <w:sz w:val="20"/>
          <w:szCs w:val="20"/>
        </w:rPr>
      </w:pPr>
      <w:r w:rsidRPr="00BC3DD6">
        <w:rPr>
          <w:rFonts w:ascii="Calibri" w:hAnsi="Calibri" w:cs="Calibri"/>
          <w:bCs/>
          <w:i/>
          <w:iCs/>
          <w:sz w:val="20"/>
          <w:szCs w:val="20"/>
        </w:rPr>
        <w:t>Memorandum No. 004 provides for r</w:t>
      </w:r>
      <w:r w:rsidRPr="00BC3DD6">
        <w:rPr>
          <w:rFonts w:ascii="Calibri" w:hAnsi="Calibri" w:cs="Calibri"/>
          <w:bCs/>
          <w:i/>
          <w:sz w:val="20"/>
          <w:szCs w:val="20"/>
        </w:rPr>
        <w:t>etention of existing procedures on deposits and withdrawals.</w:t>
      </w:r>
    </w:p>
    <w:p w14:paraId="6EA8F1F5" w14:textId="77777777" w:rsidR="001C5772" w:rsidRPr="00BC3DD6" w:rsidRDefault="001C5772" w:rsidP="001C5772">
      <w:pPr>
        <w:spacing w:after="0" w:line="240" w:lineRule="auto"/>
        <w:jc w:val="both"/>
        <w:rPr>
          <w:rFonts w:ascii="Calibri" w:hAnsi="Calibri" w:cs="Calibri"/>
          <w:sz w:val="20"/>
          <w:szCs w:val="20"/>
        </w:rPr>
      </w:pPr>
    </w:p>
    <w:p w14:paraId="62574554"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This shall apply to all Authorized Agent Banks (AABs).</w:t>
      </w:r>
    </w:p>
    <w:p w14:paraId="490B9523" w14:textId="77777777" w:rsidR="001C5772" w:rsidRPr="00BC3DD6" w:rsidRDefault="001C5772" w:rsidP="001C5772">
      <w:pPr>
        <w:spacing w:after="0" w:line="240" w:lineRule="auto"/>
        <w:jc w:val="both"/>
        <w:rPr>
          <w:rFonts w:ascii="Calibri" w:hAnsi="Calibri" w:cs="Calibri"/>
          <w:sz w:val="20"/>
          <w:szCs w:val="20"/>
        </w:rPr>
      </w:pPr>
    </w:p>
    <w:p w14:paraId="5C652F96"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The Guidelines and Procedures Governing Currency Deposits and Withdrawals of Banks for Credit to and Debit from their Demand Deposit Accounts with the </w:t>
      </w: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 xml:space="preserve"> (Appendix 84 of the MORB, Annex A) shall remain effective.</w:t>
      </w:r>
    </w:p>
    <w:p w14:paraId="30DF7F76" w14:textId="77777777" w:rsidR="001C5772" w:rsidRPr="00BC3DD6" w:rsidRDefault="001C5772" w:rsidP="001C5772">
      <w:pPr>
        <w:spacing w:after="0" w:line="240" w:lineRule="auto"/>
        <w:jc w:val="both"/>
        <w:rPr>
          <w:rFonts w:ascii="Calibri" w:hAnsi="Calibri" w:cs="Calibri"/>
          <w:sz w:val="20"/>
          <w:szCs w:val="20"/>
        </w:rPr>
      </w:pPr>
    </w:p>
    <w:p w14:paraId="09298FE9"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Further, the following procedures shall also govern deposit and withdrawal transactions of authorized agent banks (AABs) with the </w:t>
      </w: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w:t>
      </w:r>
    </w:p>
    <w:p w14:paraId="1A82A069" w14:textId="77777777" w:rsidR="001C5772" w:rsidRPr="00BC3DD6" w:rsidRDefault="001C5772" w:rsidP="001C5772">
      <w:pPr>
        <w:spacing w:after="0" w:line="240" w:lineRule="auto"/>
        <w:jc w:val="both"/>
        <w:rPr>
          <w:rFonts w:ascii="Calibri" w:hAnsi="Calibri" w:cs="Calibri"/>
          <w:sz w:val="20"/>
          <w:szCs w:val="20"/>
        </w:rPr>
      </w:pPr>
    </w:p>
    <w:p w14:paraId="2050898E" w14:textId="77777777" w:rsidR="001C5772" w:rsidRPr="00BC3DD6" w:rsidRDefault="001C5772" w:rsidP="001C5772">
      <w:pPr>
        <w:numPr>
          <w:ilvl w:val="0"/>
          <w:numId w:val="35"/>
        </w:numPr>
        <w:spacing w:after="0" w:line="240" w:lineRule="auto"/>
        <w:jc w:val="both"/>
        <w:rPr>
          <w:rFonts w:ascii="Calibri" w:hAnsi="Calibri" w:cs="Calibri"/>
          <w:sz w:val="20"/>
          <w:szCs w:val="20"/>
        </w:rPr>
      </w:pPr>
      <w:r w:rsidRPr="00BC3DD6">
        <w:rPr>
          <w:rFonts w:ascii="Calibri" w:hAnsi="Calibri" w:cs="Calibri"/>
          <w:sz w:val="20"/>
          <w:szCs w:val="20"/>
        </w:rPr>
        <w:t>For transactions with the Cash Department (CD) of the Payments and Currency Management Operations Sub-Sector (PCMOSs)</w:t>
      </w:r>
    </w:p>
    <w:p w14:paraId="4CB9C2E9" w14:textId="77777777" w:rsidR="001C5772" w:rsidRPr="00BC3DD6" w:rsidRDefault="001C5772" w:rsidP="001C5772">
      <w:pPr>
        <w:spacing w:after="0" w:line="240" w:lineRule="auto"/>
        <w:jc w:val="both"/>
        <w:rPr>
          <w:rFonts w:ascii="Calibri" w:hAnsi="Calibri" w:cs="Calibri"/>
          <w:sz w:val="20"/>
          <w:szCs w:val="20"/>
        </w:rPr>
      </w:pPr>
    </w:p>
    <w:p w14:paraId="0D773293" w14:textId="77777777" w:rsidR="001C5772" w:rsidRPr="00BC3DD6" w:rsidRDefault="001C5772" w:rsidP="001C5772">
      <w:pPr>
        <w:numPr>
          <w:ilvl w:val="0"/>
          <w:numId w:val="36"/>
        </w:numPr>
        <w:spacing w:after="0" w:line="240" w:lineRule="auto"/>
        <w:jc w:val="both"/>
        <w:rPr>
          <w:rFonts w:ascii="Calibri" w:hAnsi="Calibri" w:cs="Calibri"/>
          <w:sz w:val="20"/>
          <w:szCs w:val="20"/>
        </w:rPr>
      </w:pPr>
      <w:r w:rsidRPr="00BC3DD6">
        <w:rPr>
          <w:rFonts w:ascii="Calibri" w:hAnsi="Calibri" w:cs="Calibri"/>
          <w:sz w:val="20"/>
          <w:szCs w:val="20"/>
        </w:rPr>
        <w:t xml:space="preserve">AABs shall issue a letter of authority in favor of the </w:t>
      </w: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 xml:space="preserve">, through the PCMOSs, to debit their respective Demand Deposit Accounts (DDAs) maintained with the </w:t>
      </w: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 for the service fee on their transactions on the day of deposit/withdrawal.</w:t>
      </w:r>
    </w:p>
    <w:p w14:paraId="30DBE148" w14:textId="77777777" w:rsidR="001C5772" w:rsidRPr="00BC3DD6" w:rsidRDefault="001C5772" w:rsidP="001C5772">
      <w:pPr>
        <w:spacing w:after="0" w:line="240" w:lineRule="auto"/>
        <w:jc w:val="both"/>
        <w:rPr>
          <w:rFonts w:ascii="Calibri" w:hAnsi="Calibri" w:cs="Calibri"/>
          <w:sz w:val="20"/>
          <w:szCs w:val="20"/>
        </w:rPr>
      </w:pPr>
    </w:p>
    <w:p w14:paraId="7E5E639D" w14:textId="77777777" w:rsidR="001C5772" w:rsidRPr="00BC3DD6" w:rsidRDefault="001C5772" w:rsidP="001C5772">
      <w:pPr>
        <w:numPr>
          <w:ilvl w:val="0"/>
          <w:numId w:val="36"/>
        </w:numPr>
        <w:spacing w:after="0" w:line="240" w:lineRule="auto"/>
        <w:jc w:val="both"/>
        <w:rPr>
          <w:rFonts w:ascii="Calibri" w:hAnsi="Calibri" w:cs="Calibri"/>
          <w:sz w:val="20"/>
          <w:szCs w:val="20"/>
        </w:rPr>
      </w:pPr>
      <w:r w:rsidRPr="00BC3DD6">
        <w:rPr>
          <w:rFonts w:ascii="Calibri" w:hAnsi="Calibri" w:cs="Calibri"/>
          <w:sz w:val="20"/>
          <w:szCs w:val="20"/>
        </w:rPr>
        <w:t>AABs shall prepare separate deposit slip/s for new/fit, mixed and unfit notes, which will serve as basis for the imposition of applicable service fees for new/fit and mixed notes.</w:t>
      </w:r>
    </w:p>
    <w:p w14:paraId="062083C9" w14:textId="77777777" w:rsidR="001C5772" w:rsidRPr="00BC3DD6" w:rsidRDefault="001C5772" w:rsidP="001C5772">
      <w:pPr>
        <w:spacing w:after="0" w:line="240" w:lineRule="auto"/>
        <w:jc w:val="both"/>
        <w:rPr>
          <w:rFonts w:ascii="Calibri" w:hAnsi="Calibri" w:cs="Calibri"/>
          <w:sz w:val="20"/>
          <w:szCs w:val="20"/>
        </w:rPr>
      </w:pPr>
    </w:p>
    <w:p w14:paraId="286C7257" w14:textId="77777777" w:rsidR="001C5772" w:rsidRPr="00BC3DD6" w:rsidRDefault="001C5772" w:rsidP="001C5772">
      <w:pPr>
        <w:numPr>
          <w:ilvl w:val="0"/>
          <w:numId w:val="35"/>
        </w:numPr>
        <w:spacing w:after="0" w:line="240" w:lineRule="auto"/>
        <w:jc w:val="both"/>
        <w:rPr>
          <w:rFonts w:ascii="Calibri" w:hAnsi="Calibri" w:cs="Calibri"/>
          <w:sz w:val="20"/>
          <w:szCs w:val="20"/>
        </w:rPr>
      </w:pPr>
      <w:r w:rsidRPr="00BC3DD6">
        <w:rPr>
          <w:rFonts w:ascii="Calibri" w:hAnsi="Calibri" w:cs="Calibri"/>
          <w:sz w:val="20"/>
          <w:szCs w:val="20"/>
        </w:rPr>
        <w:t>For transactions with the BSP Regional Offices and Branches {ROBs) of the Regional Operations Sub-sector (ROSs)</w:t>
      </w:r>
    </w:p>
    <w:p w14:paraId="636B2F8C" w14:textId="77777777" w:rsidR="001C5772" w:rsidRPr="00BC3DD6" w:rsidRDefault="001C5772" w:rsidP="001C5772">
      <w:pPr>
        <w:spacing w:after="0" w:line="240" w:lineRule="auto"/>
        <w:jc w:val="both"/>
        <w:rPr>
          <w:rFonts w:ascii="Calibri" w:hAnsi="Calibri" w:cs="Calibri"/>
          <w:sz w:val="20"/>
          <w:szCs w:val="20"/>
        </w:rPr>
      </w:pPr>
    </w:p>
    <w:p w14:paraId="220BF3B0" w14:textId="77777777" w:rsidR="001C5772" w:rsidRPr="00BC3DD6" w:rsidRDefault="001C5772" w:rsidP="001C5772">
      <w:pPr>
        <w:numPr>
          <w:ilvl w:val="0"/>
          <w:numId w:val="37"/>
        </w:numPr>
        <w:spacing w:after="0" w:line="240" w:lineRule="auto"/>
        <w:jc w:val="both"/>
        <w:rPr>
          <w:rFonts w:ascii="Calibri" w:hAnsi="Calibri" w:cs="Calibri"/>
          <w:sz w:val="20"/>
          <w:szCs w:val="20"/>
        </w:rPr>
      </w:pPr>
      <w:r w:rsidRPr="00BC3DD6">
        <w:rPr>
          <w:rFonts w:ascii="Calibri" w:hAnsi="Calibri" w:cs="Calibri"/>
          <w:sz w:val="20"/>
          <w:szCs w:val="20"/>
        </w:rPr>
        <w:t xml:space="preserve">AABs shall issue a letter of authority in favor of the </w:t>
      </w: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 xml:space="preserve">, through ROSs, to debit their respective DDA maintained with the </w:t>
      </w: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 xml:space="preserve"> for the service fee on their transactions on the day of deposit/withdrawal.</w:t>
      </w:r>
    </w:p>
    <w:p w14:paraId="3F907B02" w14:textId="77777777" w:rsidR="001C5772" w:rsidRPr="00BC3DD6" w:rsidRDefault="001C5772" w:rsidP="001C5772">
      <w:pPr>
        <w:spacing w:after="0" w:line="240" w:lineRule="auto"/>
        <w:jc w:val="both"/>
        <w:rPr>
          <w:rFonts w:ascii="Calibri" w:hAnsi="Calibri" w:cs="Calibri"/>
          <w:sz w:val="20"/>
          <w:szCs w:val="20"/>
        </w:rPr>
      </w:pPr>
    </w:p>
    <w:p w14:paraId="24CBCDED" w14:textId="77777777" w:rsidR="001C5772" w:rsidRPr="00BC3DD6" w:rsidRDefault="001C5772" w:rsidP="001C5772">
      <w:pPr>
        <w:numPr>
          <w:ilvl w:val="0"/>
          <w:numId w:val="37"/>
        </w:numPr>
        <w:spacing w:after="0" w:line="240" w:lineRule="auto"/>
        <w:jc w:val="both"/>
        <w:rPr>
          <w:rFonts w:ascii="Calibri" w:hAnsi="Calibri" w:cs="Calibri"/>
          <w:sz w:val="20"/>
          <w:szCs w:val="20"/>
        </w:rPr>
      </w:pPr>
      <w:r w:rsidRPr="00BC3DD6">
        <w:rPr>
          <w:rFonts w:ascii="Calibri" w:hAnsi="Calibri" w:cs="Calibri"/>
          <w:sz w:val="20"/>
          <w:szCs w:val="20"/>
        </w:rPr>
        <w:t>AABs shall continue to prepare separate deposit slip/s for fit and unfit notes, which will serve as the basis for the imposition of applicable service fees for fit notes.</w:t>
      </w:r>
    </w:p>
    <w:p w14:paraId="39A7BA8A" w14:textId="77777777" w:rsidR="001C5772" w:rsidRPr="00BC3DD6" w:rsidRDefault="001C5772" w:rsidP="001C5772">
      <w:pPr>
        <w:spacing w:after="0" w:line="240" w:lineRule="auto"/>
        <w:jc w:val="both"/>
        <w:rPr>
          <w:rFonts w:ascii="Calibri" w:hAnsi="Calibri" w:cs="Calibri"/>
          <w:sz w:val="20"/>
          <w:szCs w:val="20"/>
        </w:rPr>
      </w:pPr>
    </w:p>
    <w:p w14:paraId="72AC17DF" w14:textId="77777777" w:rsidR="001C5772" w:rsidRPr="00BC3DD6" w:rsidRDefault="001C5772" w:rsidP="001C5772">
      <w:pPr>
        <w:numPr>
          <w:ilvl w:val="0"/>
          <w:numId w:val="37"/>
        </w:numPr>
        <w:spacing w:after="0" w:line="240" w:lineRule="auto"/>
        <w:jc w:val="both"/>
        <w:rPr>
          <w:rFonts w:ascii="Calibri" w:hAnsi="Calibri" w:cs="Calibri"/>
          <w:sz w:val="20"/>
          <w:szCs w:val="20"/>
        </w:rPr>
      </w:pPr>
      <w:r w:rsidRPr="00BC3DD6">
        <w:rPr>
          <w:rFonts w:ascii="Calibri" w:hAnsi="Calibri" w:cs="Calibri"/>
          <w:sz w:val="20"/>
          <w:szCs w:val="20"/>
        </w:rPr>
        <w:t>The BSP ROBs shall accept deposit of bundled fit notes packed in sealed plastic containers in uniform quantity of twenty (20) bundles of one (1) or various denominations.</w:t>
      </w:r>
    </w:p>
    <w:p w14:paraId="4F1CBAC0" w14:textId="77777777" w:rsidR="001C5772" w:rsidRPr="00BC3DD6" w:rsidRDefault="001C5772" w:rsidP="001C5772">
      <w:pPr>
        <w:spacing w:after="0" w:line="240" w:lineRule="auto"/>
        <w:jc w:val="both"/>
        <w:rPr>
          <w:rFonts w:ascii="Calibri" w:hAnsi="Calibri" w:cs="Calibri"/>
          <w:sz w:val="20"/>
          <w:szCs w:val="20"/>
        </w:rPr>
      </w:pPr>
    </w:p>
    <w:p w14:paraId="1C353197" w14:textId="77777777" w:rsidR="001C5772" w:rsidRPr="00BC3DD6" w:rsidRDefault="001C5772" w:rsidP="001C5772">
      <w:pPr>
        <w:spacing w:after="0" w:line="240" w:lineRule="auto"/>
        <w:jc w:val="both"/>
        <w:rPr>
          <w:rFonts w:ascii="Calibri" w:hAnsi="Calibri" w:cs="Calibri"/>
          <w:sz w:val="20"/>
          <w:szCs w:val="20"/>
        </w:rPr>
      </w:pPr>
    </w:p>
    <w:p w14:paraId="3FBC3F87"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Memorandum No. 005: Report on the Risk Assessment of Cash, Cross-Border and Cross-Sector Transactions</w:t>
      </w:r>
    </w:p>
    <w:p w14:paraId="33DDF76F"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January 13, 2021</w:t>
      </w:r>
    </w:p>
    <w:p w14:paraId="656A2B8C" w14:textId="77777777" w:rsidR="001C5772" w:rsidRPr="00BC3DD6" w:rsidRDefault="001C5772" w:rsidP="001C5772">
      <w:pPr>
        <w:spacing w:after="0" w:line="240" w:lineRule="auto"/>
        <w:jc w:val="both"/>
        <w:rPr>
          <w:rFonts w:ascii="Calibri" w:hAnsi="Calibri" w:cs="Calibri"/>
          <w:bCs/>
          <w:i/>
          <w:sz w:val="20"/>
          <w:szCs w:val="20"/>
        </w:rPr>
      </w:pPr>
    </w:p>
    <w:p w14:paraId="35158BFA"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Cs/>
          <w:i/>
          <w:iCs/>
          <w:sz w:val="20"/>
          <w:szCs w:val="20"/>
        </w:rPr>
        <w:t xml:space="preserve">Memorandum No. 005 provides for </w:t>
      </w:r>
      <w:r w:rsidRPr="00BC3DD6">
        <w:rPr>
          <w:rFonts w:ascii="Calibri" w:hAnsi="Calibri" w:cs="Calibri"/>
          <w:bCs/>
          <w:i/>
          <w:sz w:val="20"/>
          <w:szCs w:val="20"/>
        </w:rPr>
        <w:t>report on the risk assessment of Cash, Cross-Border and Cross-Sector Transactions.</w:t>
      </w:r>
    </w:p>
    <w:p w14:paraId="16A7C1CD" w14:textId="77777777" w:rsidR="001C5772" w:rsidRPr="00BC3DD6" w:rsidRDefault="001C5772" w:rsidP="001C5772">
      <w:pPr>
        <w:spacing w:after="0" w:line="240" w:lineRule="auto"/>
        <w:jc w:val="both"/>
        <w:rPr>
          <w:rFonts w:ascii="Calibri" w:hAnsi="Calibri" w:cs="Calibri"/>
          <w:sz w:val="20"/>
          <w:szCs w:val="20"/>
        </w:rPr>
      </w:pPr>
    </w:p>
    <w:p w14:paraId="3CC28FFE"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This shall apply to all BSP-Supervised Financial Institutions (BSFIs).</w:t>
      </w:r>
    </w:p>
    <w:p w14:paraId="0F1AD7CC" w14:textId="77777777" w:rsidR="001C5772" w:rsidRPr="00BC3DD6" w:rsidRDefault="001C5772" w:rsidP="001C5772">
      <w:pPr>
        <w:spacing w:after="0" w:line="240" w:lineRule="auto"/>
        <w:jc w:val="both"/>
        <w:rPr>
          <w:rFonts w:ascii="Calibri" w:hAnsi="Calibri" w:cs="Calibri"/>
          <w:sz w:val="20"/>
          <w:szCs w:val="20"/>
        </w:rPr>
      </w:pPr>
    </w:p>
    <w:p w14:paraId="13D55C64"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 xml:space="preserve">The report on risk assessment of cash, cross-border, and cross-sector transactions is part of the broader sectoral risk assessment (SRA) being conducted by the </w:t>
      </w:r>
      <w:proofErr w:type="spellStart"/>
      <w:r w:rsidRPr="00BC3DD6">
        <w:rPr>
          <w:rFonts w:ascii="Calibri" w:hAnsi="Calibri" w:cs="Calibri"/>
          <w:sz w:val="20"/>
          <w:szCs w:val="20"/>
        </w:rPr>
        <w:t>Bangko</w:t>
      </w:r>
      <w:proofErr w:type="spellEnd"/>
      <w:r w:rsidRPr="00BC3DD6">
        <w:rPr>
          <w:rFonts w:ascii="Calibri" w:hAnsi="Calibri" w:cs="Calibri"/>
          <w:sz w:val="20"/>
          <w:szCs w:val="20"/>
        </w:rPr>
        <w:t xml:space="preserve"> </w:t>
      </w:r>
      <w:proofErr w:type="spellStart"/>
      <w:r w:rsidRPr="00BC3DD6">
        <w:rPr>
          <w:rFonts w:ascii="Calibri" w:hAnsi="Calibri" w:cs="Calibri"/>
          <w:sz w:val="20"/>
          <w:szCs w:val="20"/>
        </w:rPr>
        <w:t>Sentral</w:t>
      </w:r>
      <w:proofErr w:type="spellEnd"/>
      <w:r w:rsidRPr="00BC3DD6">
        <w:rPr>
          <w:rFonts w:ascii="Calibri" w:hAnsi="Calibri" w:cs="Calibri"/>
          <w:sz w:val="20"/>
          <w:szCs w:val="20"/>
        </w:rPr>
        <w:t>. It represents the first phase of the SRA that focused on the assessment of risks attendant to cash, cross-border, and cross-sector transactions. The assessment seeks to understand, analyze, and assess the ML/TF/PF risks arising from cash transactions of banks and other BSFIs, the flow of suspected criminal proceeds through cross-border transactions, and the risks across certain sectors.</w:t>
      </w:r>
    </w:p>
    <w:p w14:paraId="7B463367" w14:textId="77777777" w:rsidR="001C5772" w:rsidRPr="00BC3DD6" w:rsidRDefault="001C5772" w:rsidP="001C5772">
      <w:pPr>
        <w:spacing w:after="0" w:line="240" w:lineRule="auto"/>
        <w:jc w:val="both"/>
        <w:rPr>
          <w:rFonts w:ascii="Calibri" w:hAnsi="Calibri" w:cs="Calibri"/>
          <w:sz w:val="20"/>
          <w:szCs w:val="20"/>
        </w:rPr>
      </w:pPr>
    </w:p>
    <w:p w14:paraId="4F2EF6C5"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BSFIs are expected to consider the findings and conclusions in the report in their respective institutional risk assessments and implement necessary measures to address the identified risk areas.</w:t>
      </w:r>
    </w:p>
    <w:p w14:paraId="57BDC340" w14:textId="77777777" w:rsidR="001C5772" w:rsidRPr="00BC3DD6" w:rsidRDefault="001C5772" w:rsidP="001C5772">
      <w:pPr>
        <w:spacing w:after="0" w:line="240" w:lineRule="auto"/>
        <w:jc w:val="both"/>
        <w:rPr>
          <w:rFonts w:ascii="Calibri" w:hAnsi="Calibri" w:cs="Calibri"/>
          <w:sz w:val="20"/>
          <w:szCs w:val="20"/>
        </w:rPr>
      </w:pPr>
    </w:p>
    <w:p w14:paraId="25F8465E" w14:textId="77777777" w:rsidR="001C5772" w:rsidRPr="00BC3DD6" w:rsidRDefault="001C5772" w:rsidP="001C5772">
      <w:pPr>
        <w:spacing w:after="0" w:line="240" w:lineRule="auto"/>
        <w:jc w:val="both"/>
        <w:rPr>
          <w:rFonts w:ascii="Calibri" w:hAnsi="Calibri" w:cs="Calibri"/>
          <w:sz w:val="20"/>
          <w:szCs w:val="20"/>
        </w:rPr>
      </w:pPr>
    </w:p>
    <w:p w14:paraId="40B04F01" w14:textId="77777777" w:rsidR="001C5772" w:rsidRPr="00BC3DD6" w:rsidRDefault="001C5772" w:rsidP="001C5772">
      <w:pPr>
        <w:spacing w:after="0" w:line="240" w:lineRule="auto"/>
        <w:jc w:val="both"/>
        <w:rPr>
          <w:rFonts w:ascii="Calibri" w:hAnsi="Calibri" w:cs="Calibri"/>
          <w:b/>
          <w:bCs/>
          <w:sz w:val="20"/>
          <w:szCs w:val="20"/>
        </w:rPr>
      </w:pPr>
      <w:r w:rsidRPr="00BC3DD6">
        <w:rPr>
          <w:rFonts w:ascii="Calibri" w:hAnsi="Calibri" w:cs="Calibri"/>
          <w:b/>
          <w:bCs/>
          <w:sz w:val="20"/>
          <w:szCs w:val="20"/>
        </w:rPr>
        <w:t>Memorandum No. 006: Advisory on Organization Changes in the Payments and Currency Management Operations Sub-Sector</w:t>
      </w:r>
    </w:p>
    <w:p w14:paraId="46D39E72" w14:textId="77777777" w:rsidR="001C5772" w:rsidRPr="00BE736B" w:rsidRDefault="001C5772" w:rsidP="001C5772">
      <w:pPr>
        <w:spacing w:after="0" w:line="240" w:lineRule="auto"/>
        <w:jc w:val="both"/>
        <w:rPr>
          <w:rFonts w:ascii="Calibri" w:hAnsi="Calibri" w:cs="Calibri"/>
          <w:i/>
          <w:sz w:val="20"/>
          <w:szCs w:val="20"/>
        </w:rPr>
      </w:pPr>
      <w:r w:rsidRPr="00BE736B">
        <w:rPr>
          <w:rFonts w:ascii="Calibri" w:hAnsi="Calibri" w:cs="Calibri"/>
          <w:sz w:val="20"/>
          <w:szCs w:val="20"/>
        </w:rPr>
        <w:t>January 14, 2021</w:t>
      </w:r>
    </w:p>
    <w:p w14:paraId="3F726763" w14:textId="77777777" w:rsidR="001C5772" w:rsidRDefault="001C5772" w:rsidP="001C5772">
      <w:pPr>
        <w:spacing w:after="0" w:line="240" w:lineRule="auto"/>
        <w:jc w:val="both"/>
        <w:rPr>
          <w:rFonts w:ascii="Calibri" w:hAnsi="Calibri" w:cs="Calibri"/>
          <w:bCs/>
          <w:i/>
          <w:iCs/>
          <w:sz w:val="20"/>
          <w:szCs w:val="20"/>
        </w:rPr>
      </w:pPr>
    </w:p>
    <w:p w14:paraId="22F510FE" w14:textId="77777777" w:rsidR="001C5772" w:rsidRPr="00BC3DD6" w:rsidRDefault="001C5772" w:rsidP="001C5772">
      <w:pPr>
        <w:spacing w:after="0" w:line="240" w:lineRule="auto"/>
        <w:jc w:val="both"/>
        <w:rPr>
          <w:rFonts w:ascii="Calibri" w:hAnsi="Calibri" w:cs="Calibri"/>
          <w:bCs/>
          <w:sz w:val="20"/>
          <w:szCs w:val="20"/>
        </w:rPr>
      </w:pPr>
      <w:r w:rsidRPr="00BC3DD6">
        <w:rPr>
          <w:rFonts w:ascii="Calibri" w:hAnsi="Calibri" w:cs="Calibri"/>
          <w:bCs/>
          <w:i/>
          <w:iCs/>
          <w:sz w:val="20"/>
          <w:szCs w:val="20"/>
        </w:rPr>
        <w:t xml:space="preserve">Memorandum No. 006 provides for </w:t>
      </w:r>
      <w:r w:rsidRPr="00BC3DD6">
        <w:rPr>
          <w:rFonts w:ascii="Calibri" w:hAnsi="Calibri" w:cs="Calibri"/>
          <w:bCs/>
          <w:i/>
          <w:sz w:val="20"/>
          <w:szCs w:val="20"/>
        </w:rPr>
        <w:t>advisory on organization changes in the Payments and Currency Management Operations Sub-Sector.</w:t>
      </w:r>
    </w:p>
    <w:p w14:paraId="2E999373" w14:textId="77777777" w:rsidR="001C5772" w:rsidRPr="00BC3DD6" w:rsidRDefault="001C5772" w:rsidP="001C5772">
      <w:pPr>
        <w:spacing w:after="0" w:line="240" w:lineRule="auto"/>
        <w:jc w:val="both"/>
        <w:rPr>
          <w:rFonts w:ascii="Calibri" w:hAnsi="Calibri" w:cs="Calibri"/>
          <w:sz w:val="20"/>
          <w:szCs w:val="20"/>
        </w:rPr>
      </w:pPr>
    </w:p>
    <w:p w14:paraId="54BA7EF0"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This shall apply to all Authorized Agent Banks (AABs).</w:t>
      </w:r>
    </w:p>
    <w:p w14:paraId="11A4A710" w14:textId="77777777" w:rsidR="001C5772" w:rsidRPr="00BC3DD6" w:rsidRDefault="001C5772" w:rsidP="001C5772">
      <w:pPr>
        <w:spacing w:after="0" w:line="240" w:lineRule="auto"/>
        <w:jc w:val="both"/>
        <w:rPr>
          <w:rFonts w:ascii="Calibri" w:hAnsi="Calibri" w:cs="Calibri"/>
          <w:sz w:val="20"/>
          <w:szCs w:val="20"/>
        </w:rPr>
      </w:pPr>
    </w:p>
    <w:p w14:paraId="74A9DD89"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Under the Payments and Currency Management Sector (PCMS) is the restructured Payments and Currency Management Operations Sub-Sector (PCMOSS, formerly the Metro Manila Currency Operations Sub-Sector), which is mandated to oversee the operations and activities of the Cash Department (CD) and the Payments and Settlements Office (PSO).</w:t>
      </w:r>
    </w:p>
    <w:p w14:paraId="33A4D0F9" w14:textId="77777777" w:rsidR="001C5772" w:rsidRPr="00BC3DD6" w:rsidRDefault="001C5772" w:rsidP="001C5772">
      <w:pPr>
        <w:spacing w:after="0" w:line="240" w:lineRule="auto"/>
        <w:jc w:val="both"/>
        <w:rPr>
          <w:rFonts w:ascii="Calibri" w:hAnsi="Calibri" w:cs="Calibri"/>
          <w:sz w:val="20"/>
          <w:szCs w:val="20"/>
        </w:rPr>
      </w:pPr>
    </w:p>
    <w:p w14:paraId="54F1B234" w14:textId="77777777" w:rsidR="001C5772" w:rsidRPr="00BC3DD6" w:rsidRDefault="001C5772" w:rsidP="001C5772">
      <w:pPr>
        <w:spacing w:after="0" w:line="240" w:lineRule="auto"/>
        <w:jc w:val="both"/>
        <w:rPr>
          <w:rFonts w:ascii="Calibri" w:hAnsi="Calibri" w:cs="Calibri"/>
          <w:sz w:val="20"/>
          <w:szCs w:val="20"/>
        </w:rPr>
      </w:pPr>
      <w:r w:rsidRPr="00BC3DD6">
        <w:rPr>
          <w:rFonts w:ascii="Calibri" w:hAnsi="Calibri" w:cs="Calibri"/>
          <w:sz w:val="20"/>
          <w:szCs w:val="20"/>
        </w:rPr>
        <w:t>The PCMOSS shall lead the development and implementation of tactical strategies to ensure efficient currency distribution, and sound and secure settlement of financial market transactions and other critical interbank fund transfers through the BSP-operated Philippine Payment and Settlement System (</w:t>
      </w:r>
      <w:proofErr w:type="spellStart"/>
      <w:r w:rsidRPr="00BC3DD6">
        <w:rPr>
          <w:rFonts w:ascii="Calibri" w:hAnsi="Calibri" w:cs="Calibri"/>
          <w:sz w:val="20"/>
          <w:szCs w:val="20"/>
        </w:rPr>
        <w:t>PhilPaSS</w:t>
      </w:r>
      <w:proofErr w:type="spellEnd"/>
      <w:r w:rsidRPr="00BC3DD6">
        <w:rPr>
          <w:rFonts w:ascii="Calibri" w:hAnsi="Calibri" w:cs="Calibri"/>
          <w:sz w:val="20"/>
          <w:szCs w:val="20"/>
        </w:rPr>
        <w:t>). It shall ensure timely and adequate currency distribution in Metro Manila and other assigned areas. It shall also be responsible for the retirement of unfit currency notes and coins and the promotion of proactive partnerships with AABs, government agencies, and private institutions. Moreover, it shall maintain the efficient and safe conduct of settlement transactions in support of the smooth functioning of the financial system and the digital transformation initiative of the BSP.</w:t>
      </w:r>
    </w:p>
    <w:p w14:paraId="574E553F" w14:textId="77777777" w:rsidR="001C5772" w:rsidRPr="00BC3DD6" w:rsidRDefault="001C5772" w:rsidP="001C5772">
      <w:pPr>
        <w:spacing w:after="0" w:line="240" w:lineRule="auto"/>
        <w:jc w:val="both"/>
        <w:rPr>
          <w:rFonts w:ascii="Calibri" w:hAnsi="Calibri" w:cs="Calibri"/>
          <w:sz w:val="20"/>
          <w:szCs w:val="20"/>
        </w:rPr>
      </w:pPr>
    </w:p>
    <w:p w14:paraId="7329425A" w14:textId="77777777" w:rsidR="001C5772" w:rsidRPr="00BE736B" w:rsidRDefault="001C5772" w:rsidP="001C5772">
      <w:pPr>
        <w:spacing w:after="0" w:line="240" w:lineRule="auto"/>
        <w:jc w:val="both"/>
        <w:rPr>
          <w:rFonts w:ascii="Calibri" w:hAnsi="Calibri" w:cs="Calibri"/>
          <w:sz w:val="20"/>
          <w:szCs w:val="20"/>
        </w:rPr>
      </w:pPr>
    </w:p>
    <w:p w14:paraId="10E36930" w14:textId="77777777" w:rsidR="001C5772" w:rsidRPr="00BE736B" w:rsidRDefault="001C5772" w:rsidP="001C5772">
      <w:pPr>
        <w:spacing w:after="0" w:line="240" w:lineRule="auto"/>
        <w:jc w:val="both"/>
        <w:rPr>
          <w:rFonts w:ascii="Calibri" w:hAnsi="Calibri" w:cs="Calibri"/>
          <w:sz w:val="20"/>
          <w:szCs w:val="20"/>
        </w:rPr>
      </w:pPr>
    </w:p>
    <w:p w14:paraId="7F471EE4" w14:textId="77777777" w:rsidR="001C5772" w:rsidRPr="00BE736B" w:rsidRDefault="001C5772" w:rsidP="001C5772">
      <w:pPr>
        <w:rPr>
          <w:rFonts w:ascii="Calibri" w:hAnsi="Calibri" w:cs="Calibri"/>
          <w:b/>
          <w:bCs/>
          <w:sz w:val="32"/>
          <w:szCs w:val="32"/>
        </w:rPr>
      </w:pPr>
      <w:r w:rsidRPr="00BE736B">
        <w:rPr>
          <w:rFonts w:ascii="Calibri" w:hAnsi="Calibri" w:cs="Calibri"/>
          <w:b/>
          <w:bCs/>
          <w:sz w:val="32"/>
          <w:szCs w:val="32"/>
        </w:rPr>
        <w:t>SEC Opinions and Issuances</w:t>
      </w:r>
    </w:p>
    <w:p w14:paraId="66790377"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t>Deferral of the Philippine Interpretation Committee (PIC) Question &amp; Answer No. 2018-12 and IFRS Interpretations Committee (IFRIC) Agenda Decision on Over Time Transfer of Constructed Goods for Real Estate Industry</w:t>
      </w:r>
    </w:p>
    <w:p w14:paraId="4B86E923" w14:textId="77777777" w:rsidR="001C5772" w:rsidRPr="00BE736B" w:rsidRDefault="001C5772" w:rsidP="001C5772">
      <w:pPr>
        <w:spacing w:after="0" w:line="276" w:lineRule="auto"/>
        <w:jc w:val="both"/>
        <w:rPr>
          <w:rFonts w:ascii="Calibri" w:hAnsi="Calibri" w:cs="Calibri"/>
          <w:b/>
          <w:bCs/>
          <w:sz w:val="20"/>
          <w:szCs w:val="20"/>
          <w:u w:val="single"/>
        </w:rPr>
      </w:pPr>
    </w:p>
    <w:p w14:paraId="11AAB5B1" w14:textId="77777777" w:rsidR="001C5772" w:rsidRPr="00BE736B" w:rsidRDefault="001C5772" w:rsidP="001C5772">
      <w:pPr>
        <w:spacing w:after="0" w:line="240" w:lineRule="auto"/>
        <w:rPr>
          <w:rFonts w:ascii="Calibri" w:hAnsi="Calibri" w:cs="Calibri"/>
          <w:b/>
          <w:bCs/>
          <w:sz w:val="20"/>
          <w:szCs w:val="20"/>
        </w:rPr>
      </w:pPr>
      <w:r w:rsidRPr="00BE736B">
        <w:rPr>
          <w:rFonts w:ascii="Calibri" w:hAnsi="Calibri" w:cs="Calibri"/>
          <w:b/>
          <w:bCs/>
          <w:sz w:val="20"/>
          <w:szCs w:val="20"/>
        </w:rPr>
        <w:t>SEC Memorandum Circular No. 34 Series of 2020</w:t>
      </w:r>
    </w:p>
    <w:p w14:paraId="5D08EFD6" w14:textId="77777777" w:rsidR="001C5772" w:rsidRPr="00BE736B" w:rsidRDefault="001C5772" w:rsidP="001C5772">
      <w:pPr>
        <w:spacing w:after="0" w:line="240" w:lineRule="auto"/>
        <w:rPr>
          <w:rFonts w:ascii="Calibri" w:hAnsi="Calibri" w:cs="Calibri"/>
          <w:sz w:val="20"/>
          <w:szCs w:val="20"/>
        </w:rPr>
      </w:pPr>
      <w:r w:rsidRPr="00BE736B">
        <w:rPr>
          <w:rFonts w:ascii="Calibri" w:hAnsi="Calibri" w:cs="Calibri"/>
          <w:sz w:val="20"/>
          <w:szCs w:val="20"/>
        </w:rPr>
        <w:t>15 December 2020</w:t>
      </w:r>
    </w:p>
    <w:p w14:paraId="3AE5C8D9" w14:textId="77777777" w:rsidR="001C5772" w:rsidRPr="00BE736B" w:rsidRDefault="001C5772" w:rsidP="001C5772">
      <w:pPr>
        <w:spacing w:after="0" w:line="240" w:lineRule="auto"/>
        <w:rPr>
          <w:rFonts w:ascii="Calibri" w:hAnsi="Calibri" w:cs="Calibri"/>
          <w:b/>
          <w:bCs/>
          <w:sz w:val="20"/>
          <w:szCs w:val="20"/>
        </w:rPr>
      </w:pPr>
    </w:p>
    <w:p w14:paraId="1C56FA16" w14:textId="77777777" w:rsidR="001C5772" w:rsidRPr="00BE736B" w:rsidRDefault="001C5772" w:rsidP="001C5772">
      <w:pPr>
        <w:spacing w:after="0" w:line="240" w:lineRule="auto"/>
        <w:jc w:val="both"/>
        <w:rPr>
          <w:rFonts w:ascii="Calibri" w:hAnsi="Calibri" w:cs="Calibri"/>
          <w:i/>
          <w:iCs/>
          <w:sz w:val="20"/>
          <w:szCs w:val="20"/>
        </w:rPr>
      </w:pPr>
      <w:r w:rsidRPr="00BE736B">
        <w:rPr>
          <w:rFonts w:ascii="Calibri" w:hAnsi="Calibri" w:cs="Calibri"/>
          <w:i/>
          <w:iCs/>
          <w:sz w:val="20"/>
          <w:szCs w:val="20"/>
        </w:rPr>
        <w:t xml:space="preserve">The SEC deferred the application of the provisions of the PIC Q&amp;A No. 2018-12 on the accounting for significant financing component and the exclusion of land in the calculation of Percentage of Completion (POC) and IFRIC Agenda </w:t>
      </w:r>
      <w:r w:rsidRPr="00BE736B">
        <w:rPr>
          <w:rFonts w:ascii="Calibri" w:hAnsi="Calibri" w:cs="Calibri"/>
          <w:i/>
          <w:iCs/>
          <w:sz w:val="20"/>
          <w:szCs w:val="20"/>
        </w:rPr>
        <w:lastRenderedPageBreak/>
        <w:t>Decision on Over Time Transfers of Constructed Goods under PAS 23-Borrowing Cost for another period of three (3) years, or until 2023.</w:t>
      </w:r>
    </w:p>
    <w:p w14:paraId="4FC4DBE2" w14:textId="77777777" w:rsidR="001C5772" w:rsidRPr="00BE736B" w:rsidRDefault="001C5772" w:rsidP="001C5772">
      <w:pPr>
        <w:spacing w:after="0" w:line="240" w:lineRule="auto"/>
        <w:jc w:val="both"/>
        <w:rPr>
          <w:rFonts w:ascii="Calibri" w:hAnsi="Calibri" w:cs="Calibri"/>
          <w:sz w:val="20"/>
          <w:szCs w:val="20"/>
        </w:rPr>
      </w:pPr>
    </w:p>
    <w:p w14:paraId="4E34484A" w14:textId="77777777" w:rsidR="001C5772" w:rsidRPr="00BE736B" w:rsidRDefault="001C5772" w:rsidP="001C5772">
      <w:pPr>
        <w:spacing w:after="0" w:line="240" w:lineRule="auto"/>
        <w:jc w:val="both"/>
        <w:rPr>
          <w:rFonts w:ascii="Calibri" w:hAnsi="Calibri" w:cs="Calibri"/>
          <w:sz w:val="20"/>
          <w:szCs w:val="20"/>
        </w:rPr>
      </w:pPr>
      <w:r w:rsidRPr="00BE736B">
        <w:rPr>
          <w:rFonts w:ascii="Calibri" w:hAnsi="Calibri" w:cs="Calibri"/>
          <w:sz w:val="20"/>
          <w:szCs w:val="20"/>
        </w:rPr>
        <w:t xml:space="preserve">To allow the real estate industry more time to assess implementation issues in light of the COVID-19 pandemic, the SEC deferred the application of the provisions of the PIC Q&amp;A No. 2018-12 with respect to the accounting for significant financing component and the exclusion of land in the calculation of POC and IFRIC Agenda Decision on Over Time Transfers of Constructed Goods under PAS 23-Borrowing Cost for another period of three (3) years, or until 2023. </w:t>
      </w:r>
    </w:p>
    <w:p w14:paraId="46C61AE5" w14:textId="77777777" w:rsidR="001C5772" w:rsidRPr="00BE736B" w:rsidRDefault="001C5772" w:rsidP="001C5772">
      <w:pPr>
        <w:spacing w:after="0" w:line="240" w:lineRule="auto"/>
        <w:jc w:val="both"/>
        <w:rPr>
          <w:rFonts w:ascii="Calibri" w:hAnsi="Calibri" w:cs="Calibri"/>
          <w:sz w:val="20"/>
          <w:szCs w:val="20"/>
        </w:rPr>
      </w:pPr>
    </w:p>
    <w:p w14:paraId="39029F21" w14:textId="77777777" w:rsidR="001C5772" w:rsidRPr="00BE736B" w:rsidRDefault="001C5772" w:rsidP="001C5772">
      <w:pPr>
        <w:pStyle w:val="ListParagraph"/>
        <w:numPr>
          <w:ilvl w:val="0"/>
          <w:numId w:val="22"/>
        </w:numPr>
        <w:jc w:val="both"/>
        <w:rPr>
          <w:rFonts w:ascii="Calibri" w:hAnsi="Calibri" w:cs="Calibri"/>
          <w:sz w:val="20"/>
          <w:szCs w:val="20"/>
        </w:rPr>
      </w:pPr>
      <w:r w:rsidRPr="00BE736B">
        <w:rPr>
          <w:rFonts w:ascii="Calibri" w:hAnsi="Calibri" w:cs="Calibri"/>
          <w:sz w:val="20"/>
          <w:szCs w:val="20"/>
        </w:rPr>
        <w:t xml:space="preserve">A real estate company may opt not to avail of any of the relief provided above and comply in full </w:t>
      </w:r>
      <w:proofErr w:type="gramStart"/>
      <w:r w:rsidRPr="00BE736B">
        <w:rPr>
          <w:rFonts w:ascii="Calibri" w:hAnsi="Calibri" w:cs="Calibri"/>
          <w:sz w:val="20"/>
          <w:szCs w:val="20"/>
        </w:rPr>
        <w:t>with</w:t>
      </w:r>
      <w:proofErr w:type="gramEnd"/>
      <w:r w:rsidRPr="00BE736B">
        <w:rPr>
          <w:rFonts w:ascii="Calibri" w:hAnsi="Calibri" w:cs="Calibri"/>
          <w:sz w:val="20"/>
          <w:szCs w:val="20"/>
        </w:rPr>
        <w:t xml:space="preserve"> the requirements of PIC Q&amp;A 2018-12 and IFRIC Agenda Decision in respect of the relief not availed of.</w:t>
      </w:r>
    </w:p>
    <w:p w14:paraId="349F89F5" w14:textId="77777777" w:rsidR="001C5772" w:rsidRPr="00BE736B" w:rsidRDefault="001C5772" w:rsidP="001C5772">
      <w:pPr>
        <w:pStyle w:val="ListParagraph"/>
        <w:jc w:val="both"/>
        <w:rPr>
          <w:rFonts w:ascii="Calibri" w:hAnsi="Calibri" w:cs="Calibri"/>
          <w:sz w:val="20"/>
          <w:szCs w:val="20"/>
        </w:rPr>
      </w:pPr>
    </w:p>
    <w:p w14:paraId="677C5517" w14:textId="77777777" w:rsidR="001C5772" w:rsidRPr="00BE736B" w:rsidRDefault="001C5772" w:rsidP="001C5772">
      <w:pPr>
        <w:pStyle w:val="ListParagraph"/>
        <w:numPr>
          <w:ilvl w:val="0"/>
          <w:numId w:val="22"/>
        </w:numPr>
        <w:jc w:val="both"/>
        <w:rPr>
          <w:rFonts w:ascii="Calibri" w:hAnsi="Calibri" w:cs="Calibri"/>
          <w:sz w:val="20"/>
          <w:szCs w:val="20"/>
        </w:rPr>
      </w:pPr>
      <w:r w:rsidRPr="00BE736B">
        <w:rPr>
          <w:rFonts w:ascii="Calibri" w:hAnsi="Calibri" w:cs="Calibri"/>
          <w:sz w:val="20"/>
          <w:szCs w:val="20"/>
        </w:rPr>
        <w:t xml:space="preserve">Real estate companies which opted for the deferral shall be required to disclose in the Notes to the Financial Statements the accounting policies applied, a discussion of the deferral of the subject implementation issues, and a qualitative discussion of the impact in the financial statements had the concerned application guidelines been adopted. Should any of the deferral options result in an accounting policy change, such accounting change will have to be accounted for under Philippine Accounting Standard 8, </w:t>
      </w:r>
      <w:r w:rsidRPr="00BE736B">
        <w:rPr>
          <w:rFonts w:ascii="Calibri" w:hAnsi="Calibri" w:cs="Calibri"/>
          <w:i/>
          <w:iCs/>
          <w:sz w:val="20"/>
          <w:szCs w:val="20"/>
        </w:rPr>
        <w:t>Accounting Policies, Changes in Accounting Estimates and Errors</w:t>
      </w:r>
      <w:r w:rsidRPr="00BE736B">
        <w:rPr>
          <w:rFonts w:ascii="Calibri" w:hAnsi="Calibri" w:cs="Calibri"/>
          <w:sz w:val="20"/>
          <w:szCs w:val="20"/>
        </w:rPr>
        <w:t xml:space="preserve">, i.e., retrospectively, together with the corresponding required quantitative disclosures. </w:t>
      </w:r>
    </w:p>
    <w:p w14:paraId="27D95270" w14:textId="77777777" w:rsidR="001C5772" w:rsidRPr="00BE736B" w:rsidRDefault="001C5772" w:rsidP="001C5772">
      <w:pPr>
        <w:pStyle w:val="ListParagraph"/>
        <w:rPr>
          <w:rFonts w:ascii="Calibri" w:hAnsi="Calibri" w:cs="Calibri"/>
          <w:sz w:val="20"/>
          <w:szCs w:val="20"/>
        </w:rPr>
      </w:pPr>
    </w:p>
    <w:p w14:paraId="573C488F" w14:textId="77777777" w:rsidR="001C5772" w:rsidRPr="00BE736B" w:rsidRDefault="001C5772" w:rsidP="001C5772">
      <w:pPr>
        <w:pStyle w:val="ListParagraph"/>
        <w:numPr>
          <w:ilvl w:val="0"/>
          <w:numId w:val="22"/>
        </w:numPr>
        <w:jc w:val="both"/>
        <w:rPr>
          <w:rFonts w:ascii="Calibri" w:hAnsi="Calibri" w:cs="Calibri"/>
          <w:sz w:val="20"/>
          <w:szCs w:val="20"/>
        </w:rPr>
      </w:pPr>
      <w:r w:rsidRPr="00BE736B">
        <w:rPr>
          <w:rFonts w:ascii="Calibri" w:hAnsi="Calibri" w:cs="Calibri"/>
          <w:sz w:val="20"/>
          <w:szCs w:val="20"/>
        </w:rPr>
        <w:t>The regulatory relief, once adopted and recorded for financial reporting purposes, are not considered in accordance with PFRS. Real estate companies which opt to avail of the deferral shall specify in the “Basis of Preparation of the Financial Statements” section of the financial statements the relief availed of and indicate that the financial statements are prepared in accordance with PFRS, as modified by the application of the above financial reporting reliefs. The circular prescribes wordings that should be complied with.</w:t>
      </w:r>
    </w:p>
    <w:p w14:paraId="3EB886CB" w14:textId="77777777" w:rsidR="001C5772" w:rsidRPr="00BE736B" w:rsidRDefault="001C5772" w:rsidP="001C5772">
      <w:pPr>
        <w:pStyle w:val="ListParagraph"/>
        <w:rPr>
          <w:rFonts w:ascii="Calibri" w:hAnsi="Calibri" w:cs="Calibri"/>
          <w:sz w:val="20"/>
          <w:szCs w:val="20"/>
        </w:rPr>
      </w:pPr>
    </w:p>
    <w:p w14:paraId="4817E25A" w14:textId="77777777" w:rsidR="001C5772" w:rsidRPr="00BE736B" w:rsidRDefault="001C5772" w:rsidP="001C5772">
      <w:pPr>
        <w:pStyle w:val="ListParagraph"/>
        <w:numPr>
          <w:ilvl w:val="0"/>
          <w:numId w:val="22"/>
        </w:numPr>
        <w:jc w:val="both"/>
        <w:rPr>
          <w:rFonts w:ascii="Calibri" w:hAnsi="Calibri" w:cs="Calibri"/>
          <w:sz w:val="20"/>
          <w:szCs w:val="20"/>
        </w:rPr>
      </w:pPr>
      <w:r w:rsidRPr="00BE736B">
        <w:rPr>
          <w:rFonts w:ascii="Calibri" w:hAnsi="Calibri" w:cs="Calibri"/>
          <w:noProof/>
          <w:sz w:val="20"/>
          <w:szCs w:val="20"/>
        </w:rPr>
        <w:t>Where the external auditor has been engaged to perform an audit engagement in accordance with PSA on these financial statements which have been prepared using PFRS as modified by the application of the financial reporting relief issued and approved by the SEC, the external auditor shall reflect in the opinion paragraph that the financial statements are prepared in accordance with the compliance framework described in the notes to the financial statements. The external auditor shall also include an Emphasis of Matter paragraph in the auditor’s report to draw attention to the basis of accounting that has been used in the preparation of the financial statements.</w:t>
      </w:r>
    </w:p>
    <w:p w14:paraId="575370E8" w14:textId="77777777" w:rsidR="001C5772" w:rsidRPr="00BE736B" w:rsidRDefault="001C5772" w:rsidP="001C5772">
      <w:pPr>
        <w:pStyle w:val="ListParagraph"/>
        <w:rPr>
          <w:rFonts w:ascii="Calibri" w:hAnsi="Calibri" w:cs="Calibri"/>
          <w:b/>
          <w:bCs/>
          <w:sz w:val="20"/>
          <w:szCs w:val="20"/>
        </w:rPr>
      </w:pPr>
    </w:p>
    <w:p w14:paraId="371F68CC" w14:textId="77777777" w:rsidR="001C5772" w:rsidRPr="00BE736B" w:rsidRDefault="001C5772" w:rsidP="001C5772">
      <w:pPr>
        <w:spacing w:after="0" w:line="276" w:lineRule="auto"/>
        <w:jc w:val="both"/>
        <w:rPr>
          <w:rFonts w:ascii="Calibri" w:hAnsi="Calibri" w:cs="Calibri"/>
          <w:b/>
          <w:bCs/>
          <w:sz w:val="20"/>
          <w:szCs w:val="20"/>
        </w:rPr>
      </w:pPr>
      <w:r w:rsidRPr="00BE736B">
        <w:rPr>
          <w:rFonts w:ascii="Calibri" w:hAnsi="Calibri" w:cs="Calibri"/>
          <w:b/>
          <w:bCs/>
          <w:sz w:val="20"/>
          <w:szCs w:val="20"/>
        </w:rPr>
        <w:t>Regulatory Relief Measures to Manage the Effect of the COVID-19 Pandemic</w:t>
      </w:r>
    </w:p>
    <w:p w14:paraId="4B041EE5" w14:textId="77777777" w:rsidR="001C5772" w:rsidRPr="00BE736B" w:rsidRDefault="001C5772" w:rsidP="001C5772">
      <w:pPr>
        <w:spacing w:after="0" w:line="276" w:lineRule="auto"/>
        <w:jc w:val="both"/>
        <w:rPr>
          <w:rFonts w:ascii="Calibri" w:hAnsi="Calibri" w:cs="Calibri"/>
          <w:b/>
          <w:bCs/>
          <w:sz w:val="20"/>
          <w:szCs w:val="20"/>
        </w:rPr>
      </w:pPr>
    </w:p>
    <w:p w14:paraId="78220749" w14:textId="77777777" w:rsidR="001C5772" w:rsidRPr="00BE736B" w:rsidRDefault="001C5772" w:rsidP="001C5772">
      <w:pPr>
        <w:spacing w:after="0" w:line="276" w:lineRule="auto"/>
        <w:jc w:val="both"/>
        <w:rPr>
          <w:rFonts w:ascii="Calibri" w:hAnsi="Calibri" w:cs="Calibri"/>
          <w:b/>
          <w:bCs/>
          <w:sz w:val="20"/>
          <w:szCs w:val="20"/>
        </w:rPr>
      </w:pPr>
      <w:r w:rsidRPr="00BE736B">
        <w:rPr>
          <w:rFonts w:ascii="Calibri" w:hAnsi="Calibri" w:cs="Calibri"/>
          <w:b/>
          <w:bCs/>
          <w:sz w:val="20"/>
          <w:szCs w:val="20"/>
        </w:rPr>
        <w:t>SEC Memorandum Circular No. 37 Series of 2020</w:t>
      </w:r>
    </w:p>
    <w:p w14:paraId="4C7E8264"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22 December 2020</w:t>
      </w:r>
    </w:p>
    <w:p w14:paraId="2C5D0E5F" w14:textId="77777777" w:rsidR="001C5772" w:rsidRPr="00BE736B" w:rsidRDefault="001C5772" w:rsidP="001C5772">
      <w:pPr>
        <w:spacing w:after="0" w:line="276" w:lineRule="auto"/>
        <w:jc w:val="both"/>
        <w:rPr>
          <w:rFonts w:ascii="Calibri" w:hAnsi="Calibri" w:cs="Calibri"/>
          <w:b/>
          <w:bCs/>
          <w:sz w:val="20"/>
          <w:szCs w:val="20"/>
        </w:rPr>
      </w:pPr>
    </w:p>
    <w:p w14:paraId="08FD1667" w14:textId="77777777" w:rsidR="001C5772" w:rsidRPr="00BE736B" w:rsidRDefault="001C5772" w:rsidP="001C5772">
      <w:pPr>
        <w:spacing w:after="0" w:line="276" w:lineRule="auto"/>
        <w:jc w:val="both"/>
        <w:rPr>
          <w:rFonts w:ascii="Calibri" w:hAnsi="Calibri" w:cs="Calibri"/>
          <w:i/>
          <w:iCs/>
          <w:sz w:val="20"/>
          <w:szCs w:val="20"/>
        </w:rPr>
      </w:pPr>
      <w:r w:rsidRPr="00BE736B">
        <w:rPr>
          <w:rFonts w:ascii="Calibri" w:hAnsi="Calibri" w:cs="Calibri"/>
          <w:i/>
          <w:iCs/>
          <w:sz w:val="20"/>
          <w:szCs w:val="20"/>
        </w:rPr>
        <w:t xml:space="preserve">Pursuant to Republic Act (R.A.) No. 11494, or the </w:t>
      </w:r>
      <w:proofErr w:type="spellStart"/>
      <w:r w:rsidRPr="00BE736B">
        <w:rPr>
          <w:rFonts w:ascii="Calibri" w:hAnsi="Calibri" w:cs="Calibri"/>
          <w:i/>
          <w:iCs/>
          <w:sz w:val="20"/>
          <w:szCs w:val="20"/>
        </w:rPr>
        <w:t>Bayanihan</w:t>
      </w:r>
      <w:proofErr w:type="spellEnd"/>
      <w:r w:rsidRPr="00BE736B">
        <w:rPr>
          <w:rFonts w:ascii="Calibri" w:hAnsi="Calibri" w:cs="Calibri"/>
          <w:i/>
          <w:iCs/>
          <w:sz w:val="20"/>
          <w:szCs w:val="20"/>
        </w:rPr>
        <w:t xml:space="preserve"> to Recover as One Act, the SEC provides the following regulatory reliefs to financing companies (FCs) and lending companies (LCs) and the corresponding guidelines to help the covered entities manage the effects of the COVID-19 pandemic:</w:t>
      </w:r>
    </w:p>
    <w:p w14:paraId="70511042" w14:textId="77777777" w:rsidR="001C5772" w:rsidRPr="00BE736B" w:rsidRDefault="001C5772" w:rsidP="001C5772">
      <w:pPr>
        <w:spacing w:after="0" w:line="276" w:lineRule="auto"/>
        <w:jc w:val="both"/>
        <w:rPr>
          <w:rFonts w:ascii="Calibri" w:hAnsi="Calibri" w:cs="Calibri"/>
          <w:sz w:val="20"/>
          <w:szCs w:val="20"/>
        </w:rPr>
      </w:pPr>
    </w:p>
    <w:p w14:paraId="70E99F92" w14:textId="77777777" w:rsidR="001C5772" w:rsidRPr="00BE736B" w:rsidRDefault="001C5772" w:rsidP="001C5772">
      <w:pPr>
        <w:pStyle w:val="ListParagraph"/>
        <w:numPr>
          <w:ilvl w:val="0"/>
          <w:numId w:val="21"/>
        </w:numPr>
        <w:spacing w:after="0" w:line="276" w:lineRule="auto"/>
        <w:jc w:val="both"/>
        <w:rPr>
          <w:rFonts w:ascii="Calibri" w:hAnsi="Calibri" w:cs="Calibri"/>
          <w:i/>
          <w:iCs/>
          <w:sz w:val="20"/>
          <w:szCs w:val="20"/>
        </w:rPr>
      </w:pPr>
      <w:r w:rsidRPr="00BE736B">
        <w:rPr>
          <w:rFonts w:ascii="Calibri" w:hAnsi="Calibri" w:cs="Calibri"/>
          <w:i/>
          <w:iCs/>
          <w:sz w:val="20"/>
          <w:szCs w:val="20"/>
        </w:rPr>
        <w:t>Relaxation of the required maintaining net worth of FCs under Section 11 of the R.A. No. 8556 or the Financing Company Act of 1998 (FCA) Implementing Rules and Regulations (IRR);</w:t>
      </w:r>
    </w:p>
    <w:p w14:paraId="4D9B9DF2" w14:textId="77777777" w:rsidR="001C5772" w:rsidRPr="00BE736B" w:rsidRDefault="001C5772" w:rsidP="001C5772">
      <w:pPr>
        <w:pStyle w:val="ListParagraph"/>
        <w:numPr>
          <w:ilvl w:val="0"/>
          <w:numId w:val="21"/>
        </w:numPr>
        <w:spacing w:after="0" w:line="276" w:lineRule="auto"/>
        <w:jc w:val="both"/>
        <w:rPr>
          <w:rFonts w:ascii="Calibri" w:hAnsi="Calibri" w:cs="Calibri"/>
          <w:i/>
          <w:iCs/>
          <w:sz w:val="20"/>
          <w:szCs w:val="20"/>
        </w:rPr>
      </w:pPr>
      <w:r w:rsidRPr="00BE736B">
        <w:rPr>
          <w:rFonts w:ascii="Calibri" w:hAnsi="Calibri" w:cs="Calibri"/>
          <w:i/>
          <w:iCs/>
          <w:sz w:val="20"/>
          <w:szCs w:val="20"/>
        </w:rPr>
        <w:t>Relaxation of the required investment in financing and lending activities under Section 9(b) of the FCA IRR, and Rule 3(f) of the R.A. No. 9474 or the Lending Company Regulation Act of 2007 (LCRA) IRR, subject to the evaluation of the SEC;</w:t>
      </w:r>
    </w:p>
    <w:p w14:paraId="66073B22" w14:textId="77777777" w:rsidR="001C5772" w:rsidRPr="00BE736B" w:rsidRDefault="001C5772" w:rsidP="001C5772">
      <w:pPr>
        <w:pStyle w:val="ListParagraph"/>
        <w:numPr>
          <w:ilvl w:val="0"/>
          <w:numId w:val="21"/>
        </w:numPr>
        <w:spacing w:after="0" w:line="276" w:lineRule="auto"/>
        <w:jc w:val="both"/>
        <w:rPr>
          <w:rFonts w:ascii="Calibri" w:hAnsi="Calibri" w:cs="Calibri"/>
          <w:i/>
          <w:iCs/>
          <w:sz w:val="20"/>
          <w:szCs w:val="20"/>
        </w:rPr>
      </w:pPr>
      <w:r w:rsidRPr="00BE736B">
        <w:rPr>
          <w:rFonts w:ascii="Calibri" w:hAnsi="Calibri" w:cs="Calibri"/>
          <w:i/>
          <w:iCs/>
          <w:sz w:val="20"/>
          <w:szCs w:val="20"/>
        </w:rPr>
        <w:lastRenderedPageBreak/>
        <w:t>Relaxation of the period of commencement of financing and lending operations under Sections 5(b) and 6(d) of the FCA IRR, and Rule 3(e) of the LCA IRR, respectively.</w:t>
      </w:r>
    </w:p>
    <w:p w14:paraId="3E74689C" w14:textId="77777777" w:rsidR="001C5772" w:rsidRPr="00BE736B" w:rsidRDefault="001C5772" w:rsidP="001C5772">
      <w:pPr>
        <w:spacing w:after="0" w:line="276" w:lineRule="auto"/>
        <w:jc w:val="both"/>
        <w:rPr>
          <w:rFonts w:ascii="Calibri" w:hAnsi="Calibri" w:cs="Calibri"/>
          <w:sz w:val="20"/>
          <w:szCs w:val="20"/>
        </w:rPr>
      </w:pPr>
    </w:p>
    <w:p w14:paraId="12DDF9AC"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FCs and LCs that intend to avail of the regulatory reliefs are required to submit: (1) a Letter-notification, signed by the company’s President or, in his absence/unavailability, an officer of equivalent rank, stating the company’s intention to avail of the regulatory reliefs, the specific regulatory relief to be availed, and the reason therefor, including a detailed explanation of the debt relief measures provided by the company to its borrowers and a statement that it is in good standing with the SEC, and; (2) Resolution of the Board of Directors authorizing the company to avail of the reliefs.</w:t>
      </w:r>
    </w:p>
    <w:p w14:paraId="68BFFC85" w14:textId="77777777" w:rsidR="001C5772" w:rsidRPr="00BE736B" w:rsidRDefault="001C5772" w:rsidP="001C5772">
      <w:pPr>
        <w:spacing w:after="0" w:line="276" w:lineRule="auto"/>
        <w:jc w:val="both"/>
        <w:rPr>
          <w:rFonts w:ascii="Calibri" w:hAnsi="Calibri" w:cs="Calibri"/>
          <w:sz w:val="20"/>
          <w:szCs w:val="20"/>
        </w:rPr>
      </w:pPr>
    </w:p>
    <w:p w14:paraId="28476DA2"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The SEC shall evaluate the application to avail of the regulatory reliefs on a case-to-case basis and shall communicate its decision on the application to the company.</w:t>
      </w:r>
    </w:p>
    <w:p w14:paraId="5745A83B" w14:textId="77777777" w:rsidR="001C5772" w:rsidRPr="00BE736B" w:rsidRDefault="001C5772" w:rsidP="001C5772">
      <w:pPr>
        <w:spacing w:after="0" w:line="276" w:lineRule="auto"/>
        <w:jc w:val="both"/>
        <w:rPr>
          <w:rFonts w:ascii="Calibri" w:hAnsi="Calibri" w:cs="Calibri"/>
          <w:sz w:val="20"/>
          <w:szCs w:val="20"/>
        </w:rPr>
      </w:pPr>
    </w:p>
    <w:p w14:paraId="2653CB1C"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The regulatory reliefs shall be effective for one (1) year from effectivity of the Memorandum Circular.</w:t>
      </w:r>
    </w:p>
    <w:p w14:paraId="77A3A552" w14:textId="77777777" w:rsidR="001C5772" w:rsidRPr="00BE736B" w:rsidRDefault="001C5772" w:rsidP="001C5772">
      <w:pPr>
        <w:spacing w:after="0" w:line="276" w:lineRule="auto"/>
        <w:jc w:val="both"/>
        <w:rPr>
          <w:rFonts w:ascii="Calibri" w:hAnsi="Calibri" w:cs="Calibri"/>
          <w:sz w:val="20"/>
          <w:szCs w:val="20"/>
        </w:rPr>
      </w:pPr>
    </w:p>
    <w:p w14:paraId="5C0A24D0" w14:textId="77777777" w:rsidR="001C5772" w:rsidRPr="00BE736B" w:rsidRDefault="001C5772" w:rsidP="001C5772">
      <w:pPr>
        <w:spacing w:after="0" w:line="276" w:lineRule="auto"/>
        <w:jc w:val="both"/>
        <w:rPr>
          <w:rFonts w:ascii="Calibri" w:hAnsi="Calibri" w:cs="Calibri"/>
          <w:i/>
          <w:iCs/>
          <w:sz w:val="20"/>
          <w:szCs w:val="20"/>
        </w:rPr>
      </w:pPr>
      <w:r w:rsidRPr="00BE736B">
        <w:rPr>
          <w:rFonts w:ascii="Calibri" w:hAnsi="Calibri" w:cs="Calibri"/>
          <w:i/>
          <w:iCs/>
          <w:sz w:val="20"/>
          <w:szCs w:val="20"/>
        </w:rPr>
        <w:t>[Editor’s Note: This circular was published in the Philippine Star and Manila Standard on 13 January 2021. It shall take effect immediately.]</w:t>
      </w:r>
    </w:p>
    <w:p w14:paraId="0C331A4E" w14:textId="77777777" w:rsidR="001C5772" w:rsidRPr="00BE736B" w:rsidRDefault="001C5772" w:rsidP="001C5772">
      <w:pPr>
        <w:jc w:val="both"/>
        <w:rPr>
          <w:rFonts w:ascii="Calibri" w:hAnsi="Calibri" w:cs="Calibri"/>
          <w:b/>
          <w:bCs/>
          <w:sz w:val="20"/>
          <w:szCs w:val="20"/>
        </w:rPr>
      </w:pPr>
    </w:p>
    <w:p w14:paraId="1F84D48A" w14:textId="77777777" w:rsidR="001C5772" w:rsidRPr="00BE736B" w:rsidRDefault="001C5772" w:rsidP="001C5772">
      <w:pPr>
        <w:spacing w:after="0" w:line="276" w:lineRule="auto"/>
        <w:jc w:val="both"/>
        <w:rPr>
          <w:rFonts w:ascii="Calibri" w:hAnsi="Calibri" w:cs="Calibri"/>
          <w:b/>
          <w:bCs/>
          <w:sz w:val="20"/>
          <w:szCs w:val="20"/>
        </w:rPr>
      </w:pPr>
      <w:r w:rsidRPr="00BE736B">
        <w:rPr>
          <w:rFonts w:ascii="Calibri" w:hAnsi="Calibri" w:cs="Calibri"/>
          <w:b/>
          <w:bCs/>
          <w:sz w:val="20"/>
          <w:szCs w:val="20"/>
        </w:rPr>
        <w:t>2020 Compliance Officer’s Certification</w:t>
      </w:r>
    </w:p>
    <w:p w14:paraId="45DA806F" w14:textId="77777777" w:rsidR="001C5772" w:rsidRPr="00BE736B" w:rsidRDefault="001C5772" w:rsidP="001C5772">
      <w:pPr>
        <w:spacing w:after="0" w:line="276" w:lineRule="auto"/>
        <w:jc w:val="both"/>
        <w:rPr>
          <w:rFonts w:ascii="Calibri" w:hAnsi="Calibri" w:cs="Calibri"/>
          <w:b/>
          <w:bCs/>
          <w:sz w:val="20"/>
          <w:szCs w:val="20"/>
        </w:rPr>
      </w:pPr>
    </w:p>
    <w:p w14:paraId="6A7DF50B" w14:textId="77777777" w:rsidR="001C5772" w:rsidRPr="00BE736B" w:rsidRDefault="001C5772" w:rsidP="001C5772">
      <w:pPr>
        <w:spacing w:after="0" w:line="276" w:lineRule="auto"/>
        <w:jc w:val="both"/>
        <w:rPr>
          <w:rFonts w:ascii="Calibri" w:hAnsi="Calibri" w:cs="Calibri"/>
          <w:b/>
          <w:bCs/>
          <w:sz w:val="20"/>
          <w:szCs w:val="20"/>
        </w:rPr>
      </w:pPr>
      <w:r w:rsidRPr="00BE736B">
        <w:rPr>
          <w:rFonts w:ascii="Calibri" w:hAnsi="Calibri" w:cs="Calibri"/>
          <w:b/>
          <w:bCs/>
          <w:sz w:val="20"/>
          <w:szCs w:val="20"/>
        </w:rPr>
        <w:t>SEC Memorandum Circular No. 36 Series of 2020</w:t>
      </w:r>
    </w:p>
    <w:p w14:paraId="7D2E9536"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22 December 2020</w:t>
      </w:r>
    </w:p>
    <w:p w14:paraId="7F1F403C" w14:textId="77777777" w:rsidR="001C5772" w:rsidRPr="00BE736B" w:rsidRDefault="001C5772" w:rsidP="001C5772">
      <w:pPr>
        <w:spacing w:after="0" w:line="276" w:lineRule="auto"/>
        <w:jc w:val="both"/>
        <w:rPr>
          <w:rFonts w:ascii="Calibri" w:hAnsi="Calibri" w:cs="Calibri"/>
          <w:b/>
          <w:bCs/>
          <w:sz w:val="20"/>
          <w:szCs w:val="20"/>
        </w:rPr>
      </w:pPr>
    </w:p>
    <w:p w14:paraId="6CF0354E" w14:textId="77777777" w:rsidR="001C5772" w:rsidRPr="00BE736B" w:rsidRDefault="001C5772" w:rsidP="001C5772">
      <w:pPr>
        <w:spacing w:line="276" w:lineRule="auto"/>
        <w:jc w:val="both"/>
        <w:rPr>
          <w:rFonts w:ascii="Calibri" w:hAnsi="Calibri" w:cs="Calibri"/>
          <w:sz w:val="20"/>
          <w:szCs w:val="20"/>
        </w:rPr>
      </w:pPr>
      <w:r w:rsidRPr="00BE736B">
        <w:rPr>
          <w:rFonts w:ascii="Calibri" w:hAnsi="Calibri" w:cs="Calibri"/>
          <w:i/>
          <w:iCs/>
          <w:sz w:val="20"/>
          <w:szCs w:val="20"/>
        </w:rPr>
        <w:t xml:space="preserve">Public Companies (PCs) and Registered Issuers (RIs) shall be required to submit a Compliance Officer’s Certification, in lieu of the Annual Corporate Governance Report, certifying that the company has substantially adopted in its Manual on Corporate Governance </w:t>
      </w:r>
      <w:proofErr w:type="gramStart"/>
      <w:r w:rsidRPr="00BE736B">
        <w:rPr>
          <w:rFonts w:ascii="Calibri" w:hAnsi="Calibri" w:cs="Calibri"/>
          <w:i/>
          <w:iCs/>
          <w:sz w:val="20"/>
          <w:szCs w:val="20"/>
        </w:rPr>
        <w:t>all of</w:t>
      </w:r>
      <w:proofErr w:type="gramEnd"/>
      <w:r w:rsidRPr="00BE736B">
        <w:rPr>
          <w:rFonts w:ascii="Calibri" w:hAnsi="Calibri" w:cs="Calibri"/>
          <w:i/>
          <w:iCs/>
          <w:sz w:val="20"/>
          <w:szCs w:val="20"/>
        </w:rPr>
        <w:t xml:space="preserve"> the recommendations under the Code of Corporate Governance for PCs and RIs.</w:t>
      </w:r>
      <w:r w:rsidRPr="00BE736B">
        <w:rPr>
          <w:rFonts w:ascii="Calibri" w:hAnsi="Calibri" w:cs="Calibri"/>
          <w:sz w:val="20"/>
          <w:szCs w:val="20"/>
        </w:rPr>
        <w:t xml:space="preserve"> </w:t>
      </w:r>
    </w:p>
    <w:p w14:paraId="5639E6BF" w14:textId="77777777" w:rsidR="001C5772" w:rsidRPr="00BE736B" w:rsidRDefault="001C5772" w:rsidP="001C5772">
      <w:pPr>
        <w:pStyle w:val="ListParagraph"/>
        <w:numPr>
          <w:ilvl w:val="0"/>
          <w:numId w:val="27"/>
        </w:numPr>
        <w:spacing w:line="276" w:lineRule="auto"/>
        <w:jc w:val="both"/>
        <w:rPr>
          <w:rFonts w:ascii="Calibri" w:hAnsi="Calibri" w:cs="Calibri"/>
          <w:sz w:val="20"/>
          <w:szCs w:val="20"/>
        </w:rPr>
      </w:pPr>
      <w:r w:rsidRPr="00BE736B">
        <w:rPr>
          <w:rFonts w:ascii="Calibri" w:hAnsi="Calibri" w:cs="Calibri"/>
          <w:sz w:val="20"/>
          <w:szCs w:val="20"/>
        </w:rPr>
        <w:t>The Certification shall also identify and explain any deviation to the recommendations provided under the Corporate Governance Code, if applicable.</w:t>
      </w:r>
    </w:p>
    <w:p w14:paraId="06561F82" w14:textId="77777777" w:rsidR="001C5772" w:rsidRPr="00BE736B" w:rsidRDefault="001C5772" w:rsidP="001C5772">
      <w:pPr>
        <w:pStyle w:val="ListParagraph"/>
        <w:spacing w:line="276" w:lineRule="auto"/>
        <w:jc w:val="both"/>
        <w:rPr>
          <w:rFonts w:ascii="Calibri" w:hAnsi="Calibri" w:cs="Calibri"/>
          <w:sz w:val="20"/>
          <w:szCs w:val="20"/>
        </w:rPr>
      </w:pPr>
    </w:p>
    <w:p w14:paraId="310363D8" w14:textId="77777777" w:rsidR="001C5772" w:rsidRPr="00BE736B" w:rsidRDefault="001C5772" w:rsidP="001C5772">
      <w:pPr>
        <w:pStyle w:val="ListParagraph"/>
        <w:numPr>
          <w:ilvl w:val="0"/>
          <w:numId w:val="26"/>
        </w:numPr>
        <w:spacing w:line="276" w:lineRule="auto"/>
        <w:jc w:val="both"/>
        <w:rPr>
          <w:rFonts w:ascii="Calibri" w:hAnsi="Calibri" w:cs="Calibri"/>
          <w:sz w:val="20"/>
          <w:szCs w:val="20"/>
        </w:rPr>
      </w:pPr>
      <w:r w:rsidRPr="00BE736B">
        <w:rPr>
          <w:rFonts w:ascii="Calibri" w:hAnsi="Calibri" w:cs="Calibri"/>
          <w:sz w:val="20"/>
          <w:szCs w:val="20"/>
        </w:rPr>
        <w:t>It shall be signed under oath by the company’s Compliance Officer and countersigned by its President or Chief Executive Officer.</w:t>
      </w:r>
    </w:p>
    <w:p w14:paraId="6A1A0FFC" w14:textId="77777777" w:rsidR="001C5772" w:rsidRPr="00BE736B" w:rsidRDefault="001C5772" w:rsidP="001C5772">
      <w:pPr>
        <w:pStyle w:val="ListParagraph"/>
        <w:spacing w:line="276" w:lineRule="auto"/>
        <w:jc w:val="both"/>
        <w:rPr>
          <w:rFonts w:ascii="Calibri" w:hAnsi="Calibri" w:cs="Calibri"/>
          <w:sz w:val="20"/>
          <w:szCs w:val="20"/>
        </w:rPr>
      </w:pPr>
    </w:p>
    <w:p w14:paraId="04E4316F" w14:textId="77777777" w:rsidR="001C5772" w:rsidRPr="00BE736B" w:rsidRDefault="001C5772" w:rsidP="001C5772">
      <w:pPr>
        <w:pStyle w:val="ListParagraph"/>
        <w:numPr>
          <w:ilvl w:val="0"/>
          <w:numId w:val="26"/>
        </w:numPr>
        <w:spacing w:line="276" w:lineRule="auto"/>
        <w:jc w:val="both"/>
        <w:rPr>
          <w:rFonts w:ascii="Calibri" w:hAnsi="Calibri" w:cs="Calibri"/>
          <w:sz w:val="20"/>
          <w:szCs w:val="20"/>
        </w:rPr>
      </w:pPr>
      <w:r w:rsidRPr="00BE736B">
        <w:rPr>
          <w:rFonts w:ascii="Calibri" w:hAnsi="Calibri" w:cs="Calibri"/>
          <w:sz w:val="20"/>
          <w:szCs w:val="20"/>
        </w:rPr>
        <w:t>Three (3) copies of a duly accomplished, signed and notarized CG Form-2020 shall be submitted to the Commission on or before 29 January 2021 and shall cover all relevant information for the covered year 2020.</w:t>
      </w:r>
    </w:p>
    <w:p w14:paraId="41491E9B" w14:textId="77777777" w:rsidR="001C5772" w:rsidRPr="00BE736B" w:rsidRDefault="001C5772" w:rsidP="001C5772">
      <w:pPr>
        <w:pStyle w:val="ListParagraph"/>
        <w:spacing w:line="276" w:lineRule="auto"/>
        <w:jc w:val="both"/>
        <w:rPr>
          <w:rFonts w:ascii="Calibri" w:hAnsi="Calibri" w:cs="Calibri"/>
          <w:sz w:val="20"/>
          <w:szCs w:val="20"/>
        </w:rPr>
      </w:pPr>
    </w:p>
    <w:p w14:paraId="2D27EB63" w14:textId="77777777" w:rsidR="001C5772" w:rsidRPr="00BE736B" w:rsidRDefault="001C5772" w:rsidP="001C5772">
      <w:pPr>
        <w:pStyle w:val="ListParagraph"/>
        <w:numPr>
          <w:ilvl w:val="0"/>
          <w:numId w:val="26"/>
        </w:numPr>
        <w:spacing w:line="276" w:lineRule="auto"/>
        <w:jc w:val="both"/>
        <w:rPr>
          <w:rFonts w:ascii="Calibri" w:hAnsi="Calibri" w:cs="Calibri"/>
          <w:sz w:val="20"/>
          <w:szCs w:val="20"/>
        </w:rPr>
      </w:pPr>
      <w:r w:rsidRPr="00BE736B">
        <w:rPr>
          <w:rFonts w:ascii="Calibri" w:hAnsi="Calibri" w:cs="Calibri"/>
          <w:sz w:val="20"/>
          <w:szCs w:val="20"/>
        </w:rPr>
        <w:t xml:space="preserve">PCs and RIs that are listed in the Philippine Stock Exchange are excluded from the coverage of the circular. </w:t>
      </w:r>
    </w:p>
    <w:p w14:paraId="6F7E0EF3" w14:textId="77777777" w:rsidR="001C5772" w:rsidRPr="00BE736B" w:rsidRDefault="001C5772" w:rsidP="001C5772">
      <w:pPr>
        <w:pStyle w:val="ListParagraph"/>
        <w:spacing w:line="276" w:lineRule="auto"/>
        <w:jc w:val="both"/>
        <w:rPr>
          <w:rFonts w:ascii="Calibri" w:hAnsi="Calibri" w:cs="Calibri"/>
          <w:sz w:val="20"/>
          <w:szCs w:val="20"/>
        </w:rPr>
      </w:pPr>
    </w:p>
    <w:p w14:paraId="52108640" w14:textId="77777777" w:rsidR="001C5772" w:rsidRPr="00BE736B" w:rsidRDefault="001C5772" w:rsidP="001C5772">
      <w:pPr>
        <w:pStyle w:val="ListParagraph"/>
        <w:numPr>
          <w:ilvl w:val="0"/>
          <w:numId w:val="26"/>
        </w:numPr>
        <w:spacing w:line="276" w:lineRule="auto"/>
        <w:jc w:val="both"/>
        <w:rPr>
          <w:rFonts w:ascii="Calibri" w:hAnsi="Calibri" w:cs="Calibri"/>
          <w:sz w:val="20"/>
          <w:szCs w:val="20"/>
        </w:rPr>
      </w:pPr>
      <w:proofErr w:type="gramStart"/>
      <w:r w:rsidRPr="00BE736B">
        <w:rPr>
          <w:rFonts w:ascii="Calibri" w:hAnsi="Calibri" w:cs="Calibri"/>
          <w:sz w:val="20"/>
          <w:szCs w:val="20"/>
        </w:rPr>
        <w:t>Publicly-listed</w:t>
      </w:r>
      <w:proofErr w:type="gramEnd"/>
      <w:r w:rsidRPr="00BE736B">
        <w:rPr>
          <w:rFonts w:ascii="Calibri" w:hAnsi="Calibri" w:cs="Calibri"/>
          <w:sz w:val="20"/>
          <w:szCs w:val="20"/>
        </w:rPr>
        <w:t xml:space="preserve"> PCs and RIs shall continue to submit an Integrated Annual Corporate Governance Report in accordance with SEC Memorandum Circular No. 15, Series of 2017.</w:t>
      </w:r>
    </w:p>
    <w:p w14:paraId="5EFB1665" w14:textId="77777777" w:rsidR="001C5772" w:rsidRPr="00BE736B" w:rsidRDefault="001C5772" w:rsidP="001C5772">
      <w:pPr>
        <w:pStyle w:val="ListParagraph"/>
        <w:numPr>
          <w:ilvl w:val="0"/>
          <w:numId w:val="26"/>
        </w:numPr>
        <w:spacing w:line="276" w:lineRule="auto"/>
        <w:jc w:val="both"/>
        <w:rPr>
          <w:rFonts w:ascii="Calibri" w:hAnsi="Calibri" w:cs="Calibri"/>
          <w:sz w:val="20"/>
          <w:szCs w:val="20"/>
        </w:rPr>
      </w:pPr>
      <w:r w:rsidRPr="00BE736B">
        <w:rPr>
          <w:rFonts w:ascii="Calibri" w:hAnsi="Calibri" w:cs="Calibri"/>
          <w:sz w:val="20"/>
          <w:szCs w:val="20"/>
        </w:rPr>
        <w:t>Non-compliance with the above requirement shall subject erring companies to the following penalties.</w:t>
      </w:r>
    </w:p>
    <w:p w14:paraId="61971607" w14:textId="77777777" w:rsidR="001C5772" w:rsidRPr="00BE736B" w:rsidRDefault="001C5772" w:rsidP="001C5772">
      <w:pPr>
        <w:spacing w:after="0" w:line="276" w:lineRule="auto"/>
        <w:jc w:val="both"/>
        <w:rPr>
          <w:rFonts w:ascii="Calibri" w:hAnsi="Calibri" w:cs="Calibri"/>
          <w:i/>
          <w:iCs/>
          <w:sz w:val="20"/>
          <w:szCs w:val="20"/>
        </w:rPr>
      </w:pPr>
      <w:r w:rsidRPr="00BE736B">
        <w:rPr>
          <w:rFonts w:ascii="Calibri" w:hAnsi="Calibri" w:cs="Calibri"/>
          <w:i/>
          <w:iCs/>
          <w:sz w:val="20"/>
          <w:szCs w:val="20"/>
        </w:rPr>
        <w:t xml:space="preserve">[Editor’s Note: This circular was published in the </w:t>
      </w:r>
      <w:r w:rsidRPr="00BE736B">
        <w:rPr>
          <w:rFonts w:ascii="Calibri" w:hAnsi="Calibri" w:cs="Calibri"/>
          <w:sz w:val="20"/>
          <w:szCs w:val="20"/>
        </w:rPr>
        <w:t>Philippine Star</w:t>
      </w:r>
      <w:r w:rsidRPr="00BE736B">
        <w:rPr>
          <w:rFonts w:ascii="Calibri" w:hAnsi="Calibri" w:cs="Calibri"/>
          <w:i/>
          <w:iCs/>
          <w:sz w:val="20"/>
          <w:szCs w:val="20"/>
        </w:rPr>
        <w:t xml:space="preserve"> and Manila Standard on 13 January 2021. It shall take effect fifteen (15) days after publication, or on 28 January 2021].</w:t>
      </w:r>
    </w:p>
    <w:p w14:paraId="7C34F59D" w14:textId="77777777" w:rsidR="001C5772" w:rsidRPr="00BE736B" w:rsidRDefault="001C5772" w:rsidP="001C5772">
      <w:pPr>
        <w:spacing w:after="0" w:line="276" w:lineRule="auto"/>
        <w:jc w:val="both"/>
        <w:rPr>
          <w:rFonts w:ascii="Calibri" w:hAnsi="Calibri" w:cs="Calibri"/>
          <w:i/>
          <w:iCs/>
          <w:sz w:val="20"/>
          <w:szCs w:val="20"/>
        </w:rPr>
      </w:pPr>
    </w:p>
    <w:p w14:paraId="16BF7788" w14:textId="77777777" w:rsidR="001C5772" w:rsidRPr="00BE736B" w:rsidRDefault="001C5772" w:rsidP="001C5772">
      <w:pPr>
        <w:spacing w:after="0" w:line="276" w:lineRule="auto"/>
        <w:jc w:val="both"/>
        <w:rPr>
          <w:rFonts w:ascii="Calibri" w:hAnsi="Calibri" w:cs="Calibri"/>
          <w:i/>
          <w:iCs/>
          <w:sz w:val="20"/>
          <w:szCs w:val="20"/>
        </w:rPr>
      </w:pPr>
    </w:p>
    <w:p w14:paraId="4A595AAC" w14:textId="77777777" w:rsidR="001C5772" w:rsidRPr="00BE736B" w:rsidRDefault="001C5772" w:rsidP="001C5772">
      <w:pPr>
        <w:jc w:val="both"/>
        <w:rPr>
          <w:rFonts w:ascii="Calibri" w:hAnsi="Calibri" w:cs="Calibri"/>
          <w:sz w:val="20"/>
          <w:szCs w:val="20"/>
        </w:rPr>
      </w:pPr>
      <w:r w:rsidRPr="00BE736B">
        <w:rPr>
          <w:rFonts w:ascii="Calibri" w:hAnsi="Calibri" w:cs="Calibri"/>
          <w:b/>
          <w:bCs/>
          <w:sz w:val="20"/>
          <w:szCs w:val="20"/>
        </w:rPr>
        <w:t xml:space="preserve">Financial Reporting Relief </w:t>
      </w:r>
      <w:proofErr w:type="gramStart"/>
      <w:r w:rsidRPr="00BE736B">
        <w:rPr>
          <w:rFonts w:ascii="Calibri" w:hAnsi="Calibri" w:cs="Calibri"/>
          <w:b/>
          <w:bCs/>
          <w:sz w:val="20"/>
          <w:szCs w:val="20"/>
        </w:rPr>
        <w:t>in light of</w:t>
      </w:r>
      <w:proofErr w:type="gramEnd"/>
      <w:r w:rsidRPr="00BE736B">
        <w:rPr>
          <w:rFonts w:ascii="Calibri" w:hAnsi="Calibri" w:cs="Calibri"/>
          <w:b/>
          <w:bCs/>
          <w:sz w:val="20"/>
          <w:szCs w:val="20"/>
        </w:rPr>
        <w:t xml:space="preserve"> Covid-19 Pandemic</w:t>
      </w:r>
    </w:p>
    <w:p w14:paraId="60F85026" w14:textId="77777777" w:rsidR="001C5772" w:rsidRPr="00BE736B" w:rsidRDefault="001C5772" w:rsidP="001C5772">
      <w:pPr>
        <w:spacing w:after="0" w:line="276" w:lineRule="auto"/>
        <w:jc w:val="both"/>
        <w:rPr>
          <w:rFonts w:ascii="Calibri" w:hAnsi="Calibri" w:cs="Calibri"/>
          <w:b/>
          <w:bCs/>
          <w:sz w:val="20"/>
          <w:szCs w:val="20"/>
        </w:rPr>
      </w:pPr>
      <w:r w:rsidRPr="00BE736B">
        <w:rPr>
          <w:rFonts w:ascii="Calibri" w:hAnsi="Calibri" w:cs="Calibri"/>
          <w:b/>
          <w:bCs/>
          <w:sz w:val="20"/>
          <w:szCs w:val="20"/>
        </w:rPr>
        <w:t xml:space="preserve">SEC Memorandum Circular No. 35 Series of 2020 </w:t>
      </w:r>
    </w:p>
    <w:p w14:paraId="3127AF93"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28 December 2020</w:t>
      </w:r>
    </w:p>
    <w:p w14:paraId="5A877836" w14:textId="77777777" w:rsidR="001C5772" w:rsidRPr="00BE736B" w:rsidRDefault="001C5772" w:rsidP="001C5772">
      <w:pPr>
        <w:spacing w:after="0" w:line="276" w:lineRule="auto"/>
        <w:jc w:val="both"/>
        <w:rPr>
          <w:rFonts w:ascii="Calibri" w:hAnsi="Calibri" w:cs="Calibri"/>
          <w:b/>
          <w:bCs/>
          <w:sz w:val="20"/>
          <w:szCs w:val="20"/>
        </w:rPr>
      </w:pPr>
    </w:p>
    <w:p w14:paraId="1A1B9958" w14:textId="77777777" w:rsidR="001C5772" w:rsidRPr="00BE736B" w:rsidRDefault="001C5772" w:rsidP="001C5772">
      <w:pPr>
        <w:spacing w:after="0" w:line="276" w:lineRule="auto"/>
        <w:jc w:val="both"/>
        <w:rPr>
          <w:rFonts w:ascii="Calibri" w:hAnsi="Calibri" w:cs="Calibri"/>
          <w:i/>
          <w:iCs/>
          <w:sz w:val="20"/>
          <w:szCs w:val="20"/>
        </w:rPr>
      </w:pPr>
      <w:r w:rsidRPr="00BE736B">
        <w:rPr>
          <w:rFonts w:ascii="Calibri" w:hAnsi="Calibri" w:cs="Calibri"/>
          <w:i/>
          <w:iCs/>
          <w:sz w:val="20"/>
          <w:szCs w:val="20"/>
        </w:rPr>
        <w:t>To provide relief to licensed financing companies (FCs) and lending companies (LCs), and</w:t>
      </w:r>
    </w:p>
    <w:p w14:paraId="2FD683C3" w14:textId="77777777" w:rsidR="001C5772" w:rsidRPr="00BE736B" w:rsidRDefault="001C5772" w:rsidP="001C5772">
      <w:pPr>
        <w:spacing w:after="0" w:line="276" w:lineRule="auto"/>
        <w:jc w:val="both"/>
        <w:rPr>
          <w:rFonts w:ascii="Calibri" w:hAnsi="Calibri" w:cs="Calibri"/>
          <w:i/>
          <w:iCs/>
          <w:sz w:val="20"/>
          <w:szCs w:val="20"/>
        </w:rPr>
      </w:pPr>
      <w:r w:rsidRPr="00BE736B">
        <w:rPr>
          <w:rFonts w:ascii="Calibri" w:hAnsi="Calibri" w:cs="Calibri"/>
          <w:i/>
          <w:iCs/>
          <w:sz w:val="20"/>
          <w:szCs w:val="20"/>
        </w:rPr>
        <w:t xml:space="preserve">accredited microfinance NGOs (MF-NGOs) in light of the Covid-19 Pandemic, SEC shall allow staggered booking of provision for credit losses calculated in accordance with the requirements of Philippine Financial Reporting Standards (PFRS), PFRS for Small and Medium-Sized Entities (SMEs), or PFRS for Small Entities (SEs), as applicable, for annual period ending on or after December 31, 2020 (to consider those with fiscal year-end) for a </w:t>
      </w:r>
      <w:r w:rsidRPr="00BE736B">
        <w:rPr>
          <w:rFonts w:ascii="Calibri" w:hAnsi="Calibri" w:cs="Calibri"/>
          <w:i/>
          <w:iCs/>
          <w:sz w:val="20"/>
          <w:szCs w:val="20"/>
          <w:u w:val="single"/>
        </w:rPr>
        <w:t>maximum period of five (5) years using straight-line amortization method to be recognized in the profit or loss.</w:t>
      </w:r>
      <w:r w:rsidRPr="00BE736B">
        <w:rPr>
          <w:rFonts w:ascii="Calibri" w:hAnsi="Calibri" w:cs="Calibri"/>
          <w:i/>
          <w:iCs/>
          <w:sz w:val="20"/>
          <w:szCs w:val="20"/>
        </w:rPr>
        <w:t xml:space="preserve"> </w:t>
      </w:r>
    </w:p>
    <w:p w14:paraId="53898B8F" w14:textId="77777777" w:rsidR="001C5772" w:rsidRPr="00BE736B" w:rsidRDefault="001C5772" w:rsidP="001C5772">
      <w:pPr>
        <w:spacing w:after="0" w:line="276" w:lineRule="auto"/>
        <w:jc w:val="both"/>
        <w:rPr>
          <w:rFonts w:ascii="Calibri" w:hAnsi="Calibri" w:cs="Calibri"/>
          <w:i/>
          <w:iCs/>
          <w:sz w:val="20"/>
          <w:szCs w:val="20"/>
        </w:rPr>
      </w:pPr>
    </w:p>
    <w:p w14:paraId="5EBBBDDF"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FCs, LCs and MF-NGOs shall continue to report actual past due and nonperforming loans and provision for credit losses in their reports submitted to the Corporate Governance and Finance Department. The accounting relief is considered a deviation from the requirements of PFRS, PFRS for SMEs and PFRS for SEs.</w:t>
      </w:r>
    </w:p>
    <w:p w14:paraId="636FF471" w14:textId="77777777" w:rsidR="001C5772" w:rsidRPr="00BE736B" w:rsidRDefault="001C5772" w:rsidP="001C5772">
      <w:pPr>
        <w:spacing w:after="0" w:line="276" w:lineRule="auto"/>
        <w:jc w:val="both"/>
        <w:rPr>
          <w:rFonts w:ascii="Calibri" w:hAnsi="Calibri" w:cs="Calibri"/>
          <w:sz w:val="20"/>
          <w:szCs w:val="20"/>
        </w:rPr>
      </w:pPr>
    </w:p>
    <w:p w14:paraId="59018A7C"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For FCs, LCs and MF-NGOs that opts to avail of the relief should adopt the following:</w:t>
      </w:r>
    </w:p>
    <w:p w14:paraId="2B2AA56B" w14:textId="77777777" w:rsidR="001C5772" w:rsidRPr="00BE736B" w:rsidRDefault="001C5772" w:rsidP="001C5772">
      <w:pPr>
        <w:spacing w:after="0" w:line="276" w:lineRule="auto"/>
        <w:jc w:val="both"/>
        <w:rPr>
          <w:rFonts w:ascii="Calibri" w:hAnsi="Calibri" w:cs="Calibri"/>
          <w:sz w:val="20"/>
          <w:szCs w:val="20"/>
        </w:rPr>
      </w:pPr>
    </w:p>
    <w:p w14:paraId="1E18C2B4" w14:textId="77777777" w:rsidR="001C5772" w:rsidRPr="00BE736B" w:rsidRDefault="001C5772" w:rsidP="001C5772">
      <w:pPr>
        <w:pStyle w:val="ListParagraph"/>
        <w:numPr>
          <w:ilvl w:val="0"/>
          <w:numId w:val="24"/>
        </w:numPr>
        <w:spacing w:after="0" w:line="276" w:lineRule="auto"/>
        <w:jc w:val="both"/>
        <w:rPr>
          <w:rFonts w:ascii="Calibri" w:hAnsi="Calibri" w:cs="Calibri"/>
          <w:sz w:val="20"/>
          <w:szCs w:val="20"/>
        </w:rPr>
      </w:pPr>
      <w:r w:rsidRPr="00BE736B">
        <w:rPr>
          <w:rFonts w:ascii="Calibri" w:hAnsi="Calibri" w:cs="Calibri"/>
          <w:sz w:val="20"/>
          <w:szCs w:val="20"/>
        </w:rPr>
        <w:t xml:space="preserve">Prepare their Audited Financial Statements (AFS) in accordance with an industry-specific framework, as modified by the application of the financial reporting reliefs issued and approved by the SEC. </w:t>
      </w:r>
    </w:p>
    <w:p w14:paraId="36F23C26" w14:textId="77777777" w:rsidR="001C5772" w:rsidRPr="00BE736B" w:rsidRDefault="001C5772" w:rsidP="001C5772">
      <w:pPr>
        <w:spacing w:after="0" w:line="276" w:lineRule="auto"/>
        <w:jc w:val="both"/>
        <w:rPr>
          <w:rFonts w:ascii="Calibri" w:hAnsi="Calibri" w:cs="Calibri"/>
          <w:sz w:val="20"/>
          <w:szCs w:val="20"/>
        </w:rPr>
      </w:pPr>
    </w:p>
    <w:p w14:paraId="05FA3F98" w14:textId="77777777" w:rsidR="001C5772" w:rsidRPr="00BE736B" w:rsidRDefault="001C5772" w:rsidP="001C5772">
      <w:pPr>
        <w:pStyle w:val="ListParagraph"/>
        <w:numPr>
          <w:ilvl w:val="0"/>
          <w:numId w:val="24"/>
        </w:numPr>
        <w:spacing w:after="0" w:line="276" w:lineRule="auto"/>
        <w:jc w:val="both"/>
        <w:rPr>
          <w:rFonts w:ascii="Calibri" w:hAnsi="Calibri" w:cs="Calibri"/>
          <w:sz w:val="20"/>
          <w:szCs w:val="20"/>
        </w:rPr>
      </w:pPr>
      <w:r w:rsidRPr="00BE736B">
        <w:rPr>
          <w:rFonts w:ascii="Calibri" w:hAnsi="Calibri" w:cs="Calibri"/>
          <w:sz w:val="20"/>
          <w:szCs w:val="20"/>
        </w:rPr>
        <w:t xml:space="preserve">Specify in the </w:t>
      </w:r>
      <w:r w:rsidRPr="00BE736B">
        <w:rPr>
          <w:rFonts w:ascii="Calibri" w:hAnsi="Calibri" w:cs="Calibri"/>
          <w:i/>
          <w:iCs/>
          <w:sz w:val="20"/>
          <w:szCs w:val="20"/>
        </w:rPr>
        <w:t xml:space="preserve">“Basis of Preparation of the Financial Statements” </w:t>
      </w:r>
      <w:r w:rsidRPr="00BE736B">
        <w:rPr>
          <w:rFonts w:ascii="Calibri" w:hAnsi="Calibri" w:cs="Calibri"/>
          <w:sz w:val="20"/>
          <w:szCs w:val="20"/>
        </w:rPr>
        <w:t xml:space="preserve">section of the financial statements the relief availed of and indicate that the </w:t>
      </w:r>
      <w:proofErr w:type="spellStart"/>
      <w:r w:rsidRPr="00BE736B">
        <w:rPr>
          <w:rFonts w:ascii="Calibri" w:hAnsi="Calibri" w:cs="Calibri"/>
          <w:sz w:val="20"/>
          <w:szCs w:val="20"/>
        </w:rPr>
        <w:t>availment</w:t>
      </w:r>
      <w:proofErr w:type="spellEnd"/>
      <w:r w:rsidRPr="00BE736B">
        <w:rPr>
          <w:rFonts w:ascii="Calibri" w:hAnsi="Calibri" w:cs="Calibri"/>
          <w:sz w:val="20"/>
          <w:szCs w:val="20"/>
        </w:rPr>
        <w:t xml:space="preserve"> thereof covers only current-year transactions. The circular provides the prescribed wordings in the presentation in the financial statements.</w:t>
      </w:r>
    </w:p>
    <w:p w14:paraId="6C667020" w14:textId="77777777" w:rsidR="001C5772" w:rsidRPr="00BE736B" w:rsidRDefault="001C5772" w:rsidP="001C5772">
      <w:pPr>
        <w:spacing w:after="0" w:line="276" w:lineRule="auto"/>
        <w:jc w:val="both"/>
        <w:rPr>
          <w:rFonts w:ascii="Calibri" w:hAnsi="Calibri" w:cs="Calibri"/>
          <w:i/>
          <w:iCs/>
          <w:sz w:val="20"/>
          <w:szCs w:val="20"/>
        </w:rPr>
      </w:pPr>
    </w:p>
    <w:p w14:paraId="30E86786" w14:textId="77777777" w:rsidR="001C5772" w:rsidRPr="00BE736B" w:rsidRDefault="001C5772" w:rsidP="001C5772">
      <w:pPr>
        <w:pStyle w:val="ListParagraph"/>
        <w:numPr>
          <w:ilvl w:val="0"/>
          <w:numId w:val="24"/>
        </w:numPr>
        <w:spacing w:after="0" w:line="276" w:lineRule="auto"/>
        <w:jc w:val="both"/>
        <w:rPr>
          <w:rFonts w:ascii="Calibri" w:hAnsi="Calibri" w:cs="Calibri"/>
          <w:sz w:val="20"/>
          <w:szCs w:val="20"/>
        </w:rPr>
      </w:pPr>
      <w:r w:rsidRPr="00BE736B">
        <w:rPr>
          <w:rFonts w:ascii="Calibri" w:hAnsi="Calibri" w:cs="Calibri"/>
          <w:sz w:val="20"/>
          <w:szCs w:val="20"/>
        </w:rPr>
        <w:t xml:space="preserve">Disclose a qualitative disclosure of the impact of the relief availed of. The following information should be provided in tabular format in the Note to Financial Statements that contains the </w:t>
      </w:r>
      <w:r w:rsidRPr="00BE736B">
        <w:rPr>
          <w:rFonts w:ascii="Calibri" w:hAnsi="Calibri" w:cs="Calibri"/>
          <w:i/>
          <w:iCs/>
          <w:sz w:val="20"/>
          <w:szCs w:val="20"/>
        </w:rPr>
        <w:t>“Basis for Preparation of the Financial Statements”</w:t>
      </w:r>
      <w:r w:rsidRPr="00BE736B">
        <w:rPr>
          <w:rFonts w:ascii="Calibri" w:hAnsi="Calibri" w:cs="Calibri"/>
          <w:sz w:val="20"/>
          <w:szCs w:val="20"/>
        </w:rPr>
        <w:t>:</w:t>
      </w:r>
    </w:p>
    <w:p w14:paraId="5ED848BC" w14:textId="77777777" w:rsidR="001C5772" w:rsidRPr="00BE736B" w:rsidRDefault="001C5772" w:rsidP="001C5772">
      <w:pPr>
        <w:spacing w:after="0" w:line="276" w:lineRule="auto"/>
        <w:jc w:val="both"/>
        <w:rPr>
          <w:rFonts w:ascii="Calibri" w:hAnsi="Calibri" w:cs="Calibri"/>
          <w:sz w:val="20"/>
          <w:szCs w:val="20"/>
        </w:rPr>
      </w:pPr>
    </w:p>
    <w:p w14:paraId="2A6B31F5" w14:textId="77777777" w:rsidR="001C5772" w:rsidRPr="00BE736B" w:rsidRDefault="001C5772" w:rsidP="001C5772">
      <w:pPr>
        <w:pStyle w:val="ListParagraph"/>
        <w:numPr>
          <w:ilvl w:val="0"/>
          <w:numId w:val="23"/>
        </w:numPr>
        <w:spacing w:after="0" w:line="276" w:lineRule="auto"/>
        <w:jc w:val="both"/>
        <w:rPr>
          <w:rFonts w:ascii="Calibri" w:hAnsi="Calibri" w:cs="Calibri"/>
          <w:sz w:val="20"/>
          <w:szCs w:val="20"/>
        </w:rPr>
      </w:pPr>
      <w:r w:rsidRPr="00BE736B">
        <w:rPr>
          <w:rFonts w:ascii="Calibri" w:hAnsi="Calibri" w:cs="Calibri"/>
          <w:sz w:val="20"/>
          <w:szCs w:val="20"/>
        </w:rPr>
        <w:t xml:space="preserve">Impact on the affected financial statement line items if the provision for credit losses was measured and recorded in accordance with PFRS, PFRS for SMEs, or PFRS for SEs, as applicable (loans and receivables, allowance for credit losses, provision for credit losses, retained earnings, deferred tax asset and expense, earnings per share [for listed companies], etc.) </w:t>
      </w:r>
    </w:p>
    <w:p w14:paraId="6D685FCA" w14:textId="77777777" w:rsidR="001C5772" w:rsidRPr="00BE736B" w:rsidRDefault="001C5772" w:rsidP="001C5772">
      <w:pPr>
        <w:pStyle w:val="ListParagraph"/>
        <w:numPr>
          <w:ilvl w:val="0"/>
          <w:numId w:val="23"/>
        </w:numPr>
        <w:spacing w:after="0" w:line="276" w:lineRule="auto"/>
        <w:jc w:val="both"/>
        <w:rPr>
          <w:rFonts w:ascii="Calibri" w:hAnsi="Calibri" w:cs="Calibri"/>
          <w:sz w:val="20"/>
          <w:szCs w:val="20"/>
        </w:rPr>
      </w:pPr>
      <w:r w:rsidRPr="00BE736B">
        <w:rPr>
          <w:rFonts w:ascii="Calibri" w:hAnsi="Calibri" w:cs="Calibri"/>
          <w:sz w:val="20"/>
          <w:szCs w:val="20"/>
        </w:rPr>
        <w:t>Amount of allowance recognized/amortized for the period</w:t>
      </w:r>
    </w:p>
    <w:p w14:paraId="582FB5C7" w14:textId="77777777" w:rsidR="001C5772" w:rsidRPr="00BE736B" w:rsidRDefault="001C5772" w:rsidP="001C5772">
      <w:pPr>
        <w:pStyle w:val="ListParagraph"/>
        <w:numPr>
          <w:ilvl w:val="0"/>
          <w:numId w:val="23"/>
        </w:numPr>
        <w:spacing w:after="0" w:line="276" w:lineRule="auto"/>
        <w:jc w:val="both"/>
        <w:rPr>
          <w:rFonts w:ascii="Calibri" w:hAnsi="Calibri" w:cs="Calibri"/>
          <w:sz w:val="20"/>
          <w:szCs w:val="20"/>
        </w:rPr>
      </w:pPr>
      <w:r w:rsidRPr="00BE736B">
        <w:rPr>
          <w:rFonts w:ascii="Calibri" w:hAnsi="Calibri" w:cs="Calibri"/>
          <w:sz w:val="20"/>
          <w:szCs w:val="20"/>
        </w:rPr>
        <w:t>Balance of unrecognized (unamortized) allowance</w:t>
      </w:r>
    </w:p>
    <w:p w14:paraId="395D74A0" w14:textId="77777777" w:rsidR="001C5772" w:rsidRPr="00BE736B" w:rsidRDefault="001C5772" w:rsidP="001C5772">
      <w:pPr>
        <w:spacing w:after="0" w:line="276" w:lineRule="auto"/>
        <w:jc w:val="both"/>
        <w:rPr>
          <w:rFonts w:ascii="Calibri" w:hAnsi="Calibri" w:cs="Calibri"/>
          <w:i/>
          <w:iCs/>
          <w:sz w:val="20"/>
          <w:szCs w:val="20"/>
        </w:rPr>
      </w:pPr>
    </w:p>
    <w:p w14:paraId="514FF617" w14:textId="77777777" w:rsidR="001C5772" w:rsidRPr="00BE736B" w:rsidRDefault="001C5772" w:rsidP="001C5772">
      <w:pPr>
        <w:pStyle w:val="ListParagraph"/>
        <w:numPr>
          <w:ilvl w:val="0"/>
          <w:numId w:val="25"/>
        </w:numPr>
        <w:spacing w:after="0" w:line="276" w:lineRule="auto"/>
        <w:jc w:val="both"/>
        <w:rPr>
          <w:rFonts w:ascii="Calibri" w:hAnsi="Calibri" w:cs="Calibri"/>
          <w:sz w:val="20"/>
          <w:szCs w:val="20"/>
        </w:rPr>
      </w:pPr>
      <w:r w:rsidRPr="00BE736B">
        <w:rPr>
          <w:rFonts w:ascii="Calibri" w:hAnsi="Calibri" w:cs="Calibri"/>
          <w:sz w:val="20"/>
          <w:szCs w:val="20"/>
        </w:rPr>
        <w:t>Comply with the requirements of the financial reporting standards in doing the above adjustments when it reverts to full PFRSs, PFRS for SMEs, or PFRS for SEs, as applicable, after the period of relief. The industry-specific accounting framework shall form part of the applicable financial reporting framework for the purpose of preparing and filing general purpose financial statements pursuant to the Revised SRC Rule 68.</w:t>
      </w:r>
    </w:p>
    <w:p w14:paraId="03A0B3A4" w14:textId="77777777" w:rsidR="001C5772" w:rsidRPr="00BE736B" w:rsidRDefault="001C5772" w:rsidP="001C5772">
      <w:pPr>
        <w:spacing w:after="0" w:line="276" w:lineRule="auto"/>
        <w:jc w:val="both"/>
        <w:rPr>
          <w:rFonts w:ascii="Calibri" w:hAnsi="Calibri" w:cs="Calibri"/>
          <w:sz w:val="20"/>
          <w:szCs w:val="20"/>
        </w:rPr>
      </w:pPr>
    </w:p>
    <w:p w14:paraId="4718418A"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For those which may avail of the relief but the impact on the financial statements is deemed not material:</w:t>
      </w:r>
    </w:p>
    <w:p w14:paraId="0897365C" w14:textId="77777777" w:rsidR="001C5772" w:rsidRPr="00BE736B" w:rsidRDefault="001C5772" w:rsidP="001C5772">
      <w:pPr>
        <w:spacing w:after="0" w:line="276" w:lineRule="auto"/>
        <w:jc w:val="both"/>
        <w:rPr>
          <w:rFonts w:ascii="Calibri" w:hAnsi="Calibri" w:cs="Calibri"/>
          <w:sz w:val="20"/>
          <w:szCs w:val="20"/>
        </w:rPr>
      </w:pPr>
    </w:p>
    <w:p w14:paraId="2C0D1820" w14:textId="77777777" w:rsidR="001C5772" w:rsidRPr="00BE736B" w:rsidRDefault="001C5772" w:rsidP="001C5772">
      <w:pPr>
        <w:pStyle w:val="ListParagraph"/>
        <w:numPr>
          <w:ilvl w:val="0"/>
          <w:numId w:val="25"/>
        </w:numPr>
        <w:spacing w:after="0" w:line="276" w:lineRule="auto"/>
        <w:jc w:val="both"/>
        <w:rPr>
          <w:rFonts w:ascii="Calibri" w:hAnsi="Calibri" w:cs="Calibri"/>
          <w:sz w:val="20"/>
          <w:szCs w:val="20"/>
        </w:rPr>
      </w:pPr>
      <w:r w:rsidRPr="00BE736B">
        <w:rPr>
          <w:rFonts w:ascii="Calibri" w:hAnsi="Calibri" w:cs="Calibri"/>
          <w:sz w:val="20"/>
          <w:szCs w:val="20"/>
        </w:rPr>
        <w:lastRenderedPageBreak/>
        <w:t>They may still represent in the notes that the financial statements are presented in full compliance with their applicable financial reporting framework. The disclosure requirements for such relief are not mandatory.</w:t>
      </w:r>
    </w:p>
    <w:p w14:paraId="0D636004" w14:textId="77777777" w:rsidR="001C5772" w:rsidRPr="00BE736B" w:rsidRDefault="001C5772" w:rsidP="001C5772">
      <w:pPr>
        <w:spacing w:after="0" w:line="276" w:lineRule="auto"/>
        <w:jc w:val="both"/>
        <w:rPr>
          <w:rFonts w:ascii="Calibri" w:hAnsi="Calibri" w:cs="Calibri"/>
          <w:sz w:val="20"/>
          <w:szCs w:val="20"/>
        </w:rPr>
      </w:pPr>
    </w:p>
    <w:p w14:paraId="38672B82"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Where the external auditor has been engaged to perform an audit engagement in accordance with PSA on these annual financial statements, which have been prepared using PFRS/PFRS for SMEs/PFRS for SEs, as modified by the application of the financial reporting relief issued and approved by the SEC, it shall adopt the following:</w:t>
      </w:r>
    </w:p>
    <w:p w14:paraId="68FCDA96" w14:textId="77777777" w:rsidR="001C5772" w:rsidRPr="00BE736B" w:rsidRDefault="001C5772" w:rsidP="001C5772">
      <w:pPr>
        <w:spacing w:after="0" w:line="276" w:lineRule="auto"/>
        <w:jc w:val="both"/>
        <w:rPr>
          <w:rFonts w:ascii="Calibri" w:hAnsi="Calibri" w:cs="Calibri"/>
          <w:sz w:val="20"/>
          <w:szCs w:val="20"/>
        </w:rPr>
      </w:pPr>
    </w:p>
    <w:p w14:paraId="475AADD1" w14:textId="77777777" w:rsidR="001C5772" w:rsidRPr="00BE736B" w:rsidRDefault="001C5772" w:rsidP="001C5772">
      <w:pPr>
        <w:pStyle w:val="ListParagraph"/>
        <w:numPr>
          <w:ilvl w:val="0"/>
          <w:numId w:val="25"/>
        </w:numPr>
        <w:spacing w:after="0" w:line="276" w:lineRule="auto"/>
        <w:jc w:val="both"/>
        <w:rPr>
          <w:rFonts w:ascii="Calibri" w:hAnsi="Calibri" w:cs="Calibri"/>
          <w:i/>
          <w:iCs/>
          <w:sz w:val="20"/>
          <w:szCs w:val="20"/>
        </w:rPr>
      </w:pPr>
      <w:r w:rsidRPr="00BE736B">
        <w:rPr>
          <w:rFonts w:ascii="Calibri" w:hAnsi="Calibri" w:cs="Calibri"/>
          <w:sz w:val="20"/>
          <w:szCs w:val="20"/>
        </w:rPr>
        <w:t xml:space="preserve">Reflect in the opinion paragraph that the financial statements are prepared in accordance with the compliance framework described in the notes to the financial statements. </w:t>
      </w:r>
    </w:p>
    <w:p w14:paraId="7CCB1865" w14:textId="77777777" w:rsidR="001C5772" w:rsidRPr="00BE736B" w:rsidRDefault="001C5772" w:rsidP="001C5772">
      <w:pPr>
        <w:pStyle w:val="ListParagraph"/>
        <w:spacing w:after="0" w:line="276" w:lineRule="auto"/>
        <w:jc w:val="both"/>
        <w:rPr>
          <w:rFonts w:ascii="Calibri" w:hAnsi="Calibri" w:cs="Calibri"/>
          <w:i/>
          <w:iCs/>
          <w:sz w:val="20"/>
          <w:szCs w:val="20"/>
        </w:rPr>
      </w:pPr>
    </w:p>
    <w:p w14:paraId="1673C2FF" w14:textId="77777777" w:rsidR="001C5772" w:rsidRPr="00BE736B" w:rsidRDefault="001C5772" w:rsidP="001C5772">
      <w:pPr>
        <w:pStyle w:val="ListParagraph"/>
        <w:numPr>
          <w:ilvl w:val="0"/>
          <w:numId w:val="25"/>
        </w:numPr>
        <w:spacing w:after="0" w:line="276" w:lineRule="auto"/>
        <w:jc w:val="both"/>
        <w:rPr>
          <w:rFonts w:ascii="Calibri" w:hAnsi="Calibri" w:cs="Calibri"/>
          <w:i/>
          <w:iCs/>
          <w:sz w:val="20"/>
          <w:szCs w:val="20"/>
        </w:rPr>
      </w:pPr>
      <w:r w:rsidRPr="00BE736B">
        <w:rPr>
          <w:rFonts w:ascii="Calibri" w:hAnsi="Calibri" w:cs="Calibri"/>
          <w:sz w:val="20"/>
          <w:szCs w:val="20"/>
        </w:rPr>
        <w:t>Include an Emphasis of Matter paragraph in the auditor’s report to draw attention to the basis of accounting that has been used in the preparation of the financial statements.</w:t>
      </w:r>
    </w:p>
    <w:p w14:paraId="720C5E1E" w14:textId="77777777" w:rsidR="001C5772" w:rsidRPr="00BE736B" w:rsidRDefault="001C5772" w:rsidP="001C5772">
      <w:pPr>
        <w:spacing w:after="0" w:line="276" w:lineRule="auto"/>
        <w:jc w:val="both"/>
        <w:rPr>
          <w:rFonts w:ascii="Calibri" w:hAnsi="Calibri" w:cs="Calibri"/>
          <w:b/>
          <w:bCs/>
          <w:sz w:val="20"/>
          <w:szCs w:val="20"/>
        </w:rPr>
      </w:pPr>
    </w:p>
    <w:p w14:paraId="5F83888D" w14:textId="77777777" w:rsidR="001C5772" w:rsidRPr="00BE736B" w:rsidRDefault="001C5772" w:rsidP="001C5772">
      <w:pPr>
        <w:spacing w:after="0" w:line="276" w:lineRule="auto"/>
        <w:jc w:val="both"/>
        <w:rPr>
          <w:rFonts w:ascii="Calibri" w:hAnsi="Calibri" w:cs="Calibri"/>
          <w:i/>
          <w:iCs/>
          <w:sz w:val="20"/>
          <w:szCs w:val="20"/>
        </w:rPr>
      </w:pPr>
    </w:p>
    <w:p w14:paraId="541A798A" w14:textId="77777777" w:rsidR="001C5772" w:rsidRPr="00BE736B" w:rsidRDefault="001C5772" w:rsidP="001C5772">
      <w:pPr>
        <w:spacing w:after="0" w:line="276" w:lineRule="auto"/>
        <w:jc w:val="both"/>
        <w:rPr>
          <w:rFonts w:ascii="Calibri" w:hAnsi="Calibri" w:cs="Calibri"/>
          <w:b/>
          <w:bCs/>
          <w:sz w:val="20"/>
          <w:szCs w:val="20"/>
        </w:rPr>
      </w:pPr>
      <w:r w:rsidRPr="00BE736B">
        <w:rPr>
          <w:rFonts w:ascii="Calibri" w:hAnsi="Calibri" w:cs="Calibri"/>
          <w:b/>
          <w:bCs/>
          <w:sz w:val="20"/>
          <w:szCs w:val="20"/>
        </w:rPr>
        <w:t xml:space="preserve">SEC Notice Series of 2020 </w:t>
      </w:r>
    </w:p>
    <w:p w14:paraId="16B587B0"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28 December 2020</w:t>
      </w:r>
    </w:p>
    <w:p w14:paraId="4D233BA3" w14:textId="77777777" w:rsidR="001C5772" w:rsidRPr="00BE736B" w:rsidRDefault="001C5772" w:rsidP="001C5772">
      <w:pPr>
        <w:spacing w:after="0" w:line="276" w:lineRule="auto"/>
        <w:jc w:val="both"/>
        <w:rPr>
          <w:rFonts w:ascii="Calibri" w:hAnsi="Calibri" w:cs="Calibri"/>
          <w:i/>
          <w:iCs/>
          <w:sz w:val="20"/>
          <w:szCs w:val="20"/>
        </w:rPr>
      </w:pPr>
    </w:p>
    <w:p w14:paraId="5BB3A7BE" w14:textId="77777777" w:rsidR="001C5772" w:rsidRPr="00BE736B" w:rsidRDefault="001C5772" w:rsidP="001C5772">
      <w:pPr>
        <w:spacing w:after="0" w:line="276" w:lineRule="auto"/>
        <w:jc w:val="both"/>
        <w:rPr>
          <w:rFonts w:ascii="Calibri" w:hAnsi="Calibri" w:cs="Calibri"/>
          <w:i/>
          <w:iCs/>
          <w:sz w:val="20"/>
          <w:szCs w:val="20"/>
        </w:rPr>
      </w:pPr>
      <w:r w:rsidRPr="00BE736B">
        <w:rPr>
          <w:rFonts w:ascii="Calibri" w:hAnsi="Calibri" w:cs="Calibri"/>
          <w:i/>
          <w:iCs/>
          <w:sz w:val="20"/>
          <w:szCs w:val="20"/>
        </w:rPr>
        <w:t>The SEC extends the deadline for submission of primary and alternative email addresses and cellular phone numbers until February 22 without penalty.</w:t>
      </w:r>
    </w:p>
    <w:p w14:paraId="16370176" w14:textId="77777777" w:rsidR="001C5772" w:rsidRPr="00BE736B" w:rsidRDefault="001C5772" w:rsidP="001C5772">
      <w:pPr>
        <w:spacing w:after="0" w:line="276" w:lineRule="auto"/>
        <w:jc w:val="both"/>
        <w:rPr>
          <w:rFonts w:ascii="Calibri" w:hAnsi="Calibri" w:cs="Calibri"/>
          <w:sz w:val="20"/>
          <w:szCs w:val="20"/>
        </w:rPr>
      </w:pPr>
    </w:p>
    <w:p w14:paraId="573FD2C0"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 xml:space="preserve">Registered entities have until February 22 to comply with the requirements of SEC Memorandum Circular 28, Series of 2020 to submit their primary and alternative email addresses and cellular phone numbers. The online submission via </w:t>
      </w:r>
      <w:hyperlink r:id="rId19" w:history="1">
        <w:r w:rsidRPr="00BE736B">
          <w:rPr>
            <w:rStyle w:val="Hyperlink"/>
            <w:rFonts w:ascii="Calibri" w:hAnsi="Calibri" w:cs="Calibri"/>
            <w:sz w:val="20"/>
            <w:szCs w:val="20"/>
          </w:rPr>
          <w:t>MC28_S2020@sec.gov.ph</w:t>
        </w:r>
      </w:hyperlink>
      <w:r w:rsidRPr="00BE736B">
        <w:rPr>
          <w:rFonts w:ascii="Calibri" w:hAnsi="Calibri" w:cs="Calibri"/>
          <w:sz w:val="20"/>
          <w:szCs w:val="20"/>
        </w:rPr>
        <w:t xml:space="preserve"> may be done on or before the deadline without penalty. Hard copies may be filed via submission to or appointment with the Information Communication Technology Department – Electronic Records Management Division (ICTD-ERMD) Receiving Unit or through SEC Express Nationwide Submission using an accredited courier or through the Philippine Postal Office.</w:t>
      </w:r>
    </w:p>
    <w:p w14:paraId="4684E325" w14:textId="77777777" w:rsidR="001C5772" w:rsidRPr="00BE736B" w:rsidRDefault="001C5772" w:rsidP="001C5772">
      <w:pPr>
        <w:spacing w:after="0" w:line="276" w:lineRule="auto"/>
        <w:jc w:val="both"/>
        <w:rPr>
          <w:rFonts w:ascii="Calibri" w:hAnsi="Calibri" w:cs="Calibri"/>
          <w:sz w:val="20"/>
          <w:szCs w:val="20"/>
        </w:rPr>
      </w:pPr>
    </w:p>
    <w:p w14:paraId="730AE2A6" w14:textId="77777777" w:rsidR="001C5772" w:rsidRPr="00BE736B" w:rsidRDefault="001C5772" w:rsidP="001C5772">
      <w:pPr>
        <w:spacing w:after="0" w:line="276" w:lineRule="auto"/>
        <w:jc w:val="both"/>
        <w:rPr>
          <w:rFonts w:ascii="Calibri" w:hAnsi="Calibri" w:cs="Calibri"/>
          <w:sz w:val="20"/>
          <w:szCs w:val="20"/>
        </w:rPr>
      </w:pPr>
      <w:r w:rsidRPr="00BE736B">
        <w:rPr>
          <w:rFonts w:ascii="Calibri" w:hAnsi="Calibri" w:cs="Calibri"/>
          <w:sz w:val="20"/>
          <w:szCs w:val="20"/>
        </w:rPr>
        <w:t>Corporations, associations and partnerships with certificates of registration issued after January 23, 2021 have thirty (30) days from the issuance of the certificate of registration to comply with SEC MC 28, without penalty.</w:t>
      </w:r>
    </w:p>
    <w:p w14:paraId="03A5DCD7" w14:textId="77777777" w:rsidR="001C5772" w:rsidRPr="00BE736B" w:rsidRDefault="001C5772" w:rsidP="001C5772">
      <w:pPr>
        <w:spacing w:after="0" w:line="276" w:lineRule="auto"/>
        <w:jc w:val="both"/>
        <w:rPr>
          <w:rFonts w:ascii="Calibri" w:hAnsi="Calibri" w:cs="Calibri"/>
          <w:sz w:val="20"/>
          <w:szCs w:val="20"/>
        </w:rPr>
      </w:pPr>
    </w:p>
    <w:p w14:paraId="0D15D231" w14:textId="77777777" w:rsidR="001C5772" w:rsidRPr="00BE736B" w:rsidRDefault="001C5772" w:rsidP="001C5772">
      <w:pPr>
        <w:shd w:val="clear" w:color="auto" w:fill="FFFFFF"/>
        <w:spacing w:after="0" w:line="276" w:lineRule="auto"/>
        <w:jc w:val="both"/>
        <w:rPr>
          <w:rFonts w:ascii="Calibri" w:eastAsia="Times New Roman" w:hAnsi="Calibri" w:cs="Calibri"/>
          <w:b/>
          <w:bCs/>
          <w:sz w:val="20"/>
          <w:szCs w:val="20"/>
        </w:rPr>
      </w:pPr>
    </w:p>
    <w:p w14:paraId="192D4A1D" w14:textId="77777777" w:rsidR="001C5772" w:rsidRPr="00BE736B" w:rsidRDefault="001C5772" w:rsidP="001C5772">
      <w:pPr>
        <w:shd w:val="clear" w:color="auto" w:fill="FFFFFF"/>
        <w:spacing w:after="0" w:line="276" w:lineRule="auto"/>
        <w:jc w:val="both"/>
        <w:rPr>
          <w:rFonts w:ascii="Calibri" w:eastAsia="Times New Roman" w:hAnsi="Calibri" w:cs="Calibri"/>
          <w:b/>
          <w:bCs/>
          <w:sz w:val="20"/>
          <w:szCs w:val="20"/>
        </w:rPr>
      </w:pPr>
      <w:r w:rsidRPr="00BE736B">
        <w:rPr>
          <w:rFonts w:ascii="Calibri" w:eastAsia="Times New Roman" w:hAnsi="Calibri" w:cs="Calibri"/>
          <w:b/>
          <w:bCs/>
          <w:sz w:val="20"/>
          <w:szCs w:val="20"/>
        </w:rPr>
        <w:t>SEC Notice Series of 2021</w:t>
      </w:r>
    </w:p>
    <w:p w14:paraId="798109BB"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r w:rsidRPr="00BE736B">
        <w:rPr>
          <w:rFonts w:ascii="Calibri" w:eastAsia="Times New Roman" w:hAnsi="Calibri" w:cs="Calibri"/>
          <w:sz w:val="20"/>
          <w:szCs w:val="20"/>
        </w:rPr>
        <w:t>8 January 2021</w:t>
      </w:r>
    </w:p>
    <w:p w14:paraId="665F4AE9" w14:textId="77777777" w:rsidR="001C5772" w:rsidRPr="00BE736B" w:rsidRDefault="001C5772" w:rsidP="001C5772">
      <w:pPr>
        <w:shd w:val="clear" w:color="auto" w:fill="FFFFFF"/>
        <w:spacing w:after="0" w:line="276" w:lineRule="auto"/>
        <w:jc w:val="both"/>
        <w:rPr>
          <w:rFonts w:ascii="Calibri" w:eastAsia="Times New Roman" w:hAnsi="Calibri" w:cs="Calibri"/>
          <w:b/>
          <w:bCs/>
          <w:sz w:val="20"/>
          <w:szCs w:val="20"/>
        </w:rPr>
      </w:pPr>
    </w:p>
    <w:p w14:paraId="70C9AFC6" w14:textId="77777777" w:rsidR="001C5772" w:rsidRPr="00BE736B" w:rsidRDefault="001C5772" w:rsidP="001C5772">
      <w:pPr>
        <w:shd w:val="clear" w:color="auto" w:fill="FFFFFF"/>
        <w:spacing w:after="0" w:line="276" w:lineRule="auto"/>
        <w:jc w:val="both"/>
        <w:rPr>
          <w:rFonts w:ascii="Calibri" w:eastAsia="Times New Roman" w:hAnsi="Calibri" w:cs="Calibri"/>
          <w:i/>
          <w:iCs/>
          <w:sz w:val="20"/>
          <w:szCs w:val="20"/>
        </w:rPr>
      </w:pPr>
      <w:r w:rsidRPr="00BE736B">
        <w:rPr>
          <w:rFonts w:ascii="Calibri" w:eastAsia="Times New Roman" w:hAnsi="Calibri" w:cs="Calibri"/>
          <w:i/>
          <w:iCs/>
          <w:sz w:val="20"/>
          <w:szCs w:val="20"/>
        </w:rPr>
        <w:t>The SEC advised that the SEC payment facilities at the SEC Main Office (PICC Complex, Pasay City) and SEC Office (Ortigas, EDSA Mandaluyong City) will remain open from Monday to Friday, except holidays.</w:t>
      </w:r>
    </w:p>
    <w:p w14:paraId="046924B0"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p>
    <w:p w14:paraId="50B11AD3"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r w:rsidRPr="00BE736B">
        <w:rPr>
          <w:rFonts w:ascii="Calibri" w:eastAsia="Times New Roman" w:hAnsi="Calibri" w:cs="Calibri"/>
          <w:sz w:val="20"/>
          <w:szCs w:val="20"/>
        </w:rPr>
        <w:t>However, the cashiers at the SEC Satellite Offices will remain closed until further notice.</w:t>
      </w:r>
    </w:p>
    <w:p w14:paraId="355EF4E8"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p>
    <w:p w14:paraId="16E64379"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p>
    <w:p w14:paraId="1AB72E9C" w14:textId="77777777" w:rsidR="001C5772" w:rsidRPr="00BE736B" w:rsidRDefault="001C5772" w:rsidP="001C5772">
      <w:pPr>
        <w:shd w:val="clear" w:color="auto" w:fill="FFFFFF"/>
        <w:spacing w:after="0" w:line="276" w:lineRule="auto"/>
        <w:jc w:val="both"/>
        <w:rPr>
          <w:rFonts w:ascii="Calibri" w:eastAsia="Times New Roman" w:hAnsi="Calibri" w:cs="Calibri"/>
          <w:b/>
          <w:bCs/>
          <w:sz w:val="20"/>
          <w:szCs w:val="20"/>
        </w:rPr>
      </w:pPr>
      <w:r w:rsidRPr="00BE736B">
        <w:rPr>
          <w:rFonts w:ascii="Calibri" w:eastAsia="Times New Roman" w:hAnsi="Calibri" w:cs="Calibri"/>
          <w:b/>
          <w:bCs/>
          <w:sz w:val="20"/>
          <w:szCs w:val="20"/>
        </w:rPr>
        <w:t xml:space="preserve">SEC Notice Series of 2021 </w:t>
      </w:r>
    </w:p>
    <w:p w14:paraId="0083CC40"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r w:rsidRPr="00BE736B">
        <w:rPr>
          <w:rFonts w:ascii="Calibri" w:eastAsia="Times New Roman" w:hAnsi="Calibri" w:cs="Calibri"/>
          <w:sz w:val="20"/>
          <w:szCs w:val="20"/>
        </w:rPr>
        <w:t>13 January 2021</w:t>
      </w:r>
    </w:p>
    <w:p w14:paraId="5B3F61DB" w14:textId="77777777" w:rsidR="001C5772" w:rsidRPr="00BE736B" w:rsidRDefault="001C5772" w:rsidP="001C5772">
      <w:pPr>
        <w:shd w:val="clear" w:color="auto" w:fill="FFFFFF"/>
        <w:spacing w:after="0" w:line="276" w:lineRule="auto"/>
        <w:jc w:val="both"/>
        <w:rPr>
          <w:rFonts w:ascii="Calibri" w:eastAsia="Times New Roman" w:hAnsi="Calibri" w:cs="Calibri"/>
          <w:b/>
          <w:bCs/>
          <w:sz w:val="20"/>
          <w:szCs w:val="20"/>
        </w:rPr>
      </w:pPr>
    </w:p>
    <w:p w14:paraId="2999E7A7" w14:textId="77777777" w:rsidR="001C5772" w:rsidRPr="00BE736B" w:rsidRDefault="001C5772" w:rsidP="001C5772">
      <w:pPr>
        <w:shd w:val="clear" w:color="auto" w:fill="FFFFFF"/>
        <w:spacing w:after="0" w:line="276" w:lineRule="auto"/>
        <w:jc w:val="both"/>
        <w:rPr>
          <w:rFonts w:ascii="Calibri" w:eastAsia="Times New Roman" w:hAnsi="Calibri" w:cs="Calibri"/>
          <w:i/>
          <w:iCs/>
          <w:sz w:val="20"/>
          <w:szCs w:val="20"/>
        </w:rPr>
      </w:pPr>
      <w:r w:rsidRPr="00BE736B">
        <w:rPr>
          <w:rFonts w:ascii="Calibri" w:eastAsia="Times New Roman" w:hAnsi="Calibri" w:cs="Calibri"/>
          <w:i/>
          <w:iCs/>
          <w:sz w:val="20"/>
          <w:szCs w:val="20"/>
        </w:rPr>
        <w:lastRenderedPageBreak/>
        <w:t xml:space="preserve">The SEC reminds existing corporations, registered prior to the effectivity of the Revised Corporation Code (RCC) on 23 February 2019, who intend to retain their corporate term to file the </w:t>
      </w:r>
      <w:r w:rsidRPr="00BE736B">
        <w:rPr>
          <w:rFonts w:ascii="Calibri" w:eastAsia="Times New Roman" w:hAnsi="Calibri" w:cs="Calibri"/>
          <w:b/>
          <w:bCs/>
          <w:i/>
          <w:iCs/>
          <w:sz w:val="20"/>
          <w:szCs w:val="20"/>
        </w:rPr>
        <w:t>Notice to Retain Specific Corporate Term</w:t>
      </w:r>
      <w:r w:rsidRPr="00BE736B">
        <w:rPr>
          <w:rFonts w:ascii="Calibri" w:eastAsia="Times New Roman" w:hAnsi="Calibri" w:cs="Calibri"/>
          <w:i/>
          <w:iCs/>
          <w:sz w:val="20"/>
          <w:szCs w:val="20"/>
        </w:rPr>
        <w:t xml:space="preserve"> on or before 23 February 2021.</w:t>
      </w:r>
    </w:p>
    <w:p w14:paraId="1058AF7D"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p>
    <w:p w14:paraId="3550FC44"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r w:rsidRPr="00BE736B">
        <w:rPr>
          <w:rFonts w:ascii="Calibri" w:eastAsia="Times New Roman" w:hAnsi="Calibri" w:cs="Calibri"/>
          <w:sz w:val="20"/>
          <w:szCs w:val="20"/>
        </w:rPr>
        <w:t xml:space="preserve">Existing corporations may file the Notice with attached Director’s Certificate electronically through the e-mail, </w:t>
      </w:r>
      <w:hyperlink r:id="rId20" w:history="1">
        <w:r w:rsidRPr="00BE736B">
          <w:rPr>
            <w:rStyle w:val="Hyperlink"/>
            <w:rFonts w:ascii="Calibri" w:eastAsia="Times New Roman" w:hAnsi="Calibri" w:cs="Calibri"/>
            <w:sz w:val="20"/>
            <w:szCs w:val="20"/>
          </w:rPr>
          <w:t>MC22_S2020@sec.gov.ph</w:t>
        </w:r>
      </w:hyperlink>
      <w:r w:rsidRPr="00BE736B">
        <w:rPr>
          <w:rFonts w:ascii="Calibri" w:eastAsia="Times New Roman" w:hAnsi="Calibri" w:cs="Calibri"/>
          <w:sz w:val="20"/>
          <w:szCs w:val="20"/>
        </w:rPr>
        <w:t xml:space="preserve">. Hard copies of the Notice and Director’s Certificate must also be formally filed with the Company Registration and Monitoring Department (CRMD) Receiving Unit for the issuance of the </w:t>
      </w:r>
      <w:r w:rsidRPr="00BE736B">
        <w:rPr>
          <w:rFonts w:ascii="Calibri" w:eastAsia="Times New Roman" w:hAnsi="Calibri" w:cs="Calibri"/>
          <w:b/>
          <w:bCs/>
          <w:i/>
          <w:iCs/>
          <w:sz w:val="20"/>
          <w:szCs w:val="20"/>
        </w:rPr>
        <w:t>Certificate of Filing of Notice to Retain Specific Corporate Term</w:t>
      </w:r>
      <w:r w:rsidRPr="00BE736B">
        <w:rPr>
          <w:rFonts w:ascii="Calibri" w:eastAsia="Times New Roman" w:hAnsi="Calibri" w:cs="Calibri"/>
          <w:sz w:val="20"/>
          <w:szCs w:val="20"/>
        </w:rPr>
        <w:t>.</w:t>
      </w:r>
    </w:p>
    <w:p w14:paraId="7EEA9CD5"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p>
    <w:p w14:paraId="098F994F"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r w:rsidRPr="00BE736B">
        <w:rPr>
          <w:rFonts w:ascii="Calibri" w:eastAsia="Times New Roman" w:hAnsi="Calibri" w:cs="Calibri"/>
          <w:sz w:val="20"/>
          <w:szCs w:val="20"/>
        </w:rPr>
        <w:t>Corporations who fail to file the Notice by 23 February 2021 shall be deemed to have selected a perpetual term.</w:t>
      </w:r>
    </w:p>
    <w:p w14:paraId="64F91DF9" w14:textId="77777777" w:rsidR="001C5772" w:rsidRPr="00BE736B" w:rsidRDefault="001C5772" w:rsidP="001C5772">
      <w:pPr>
        <w:shd w:val="clear" w:color="auto" w:fill="FFFFFF"/>
        <w:spacing w:after="0" w:line="276" w:lineRule="auto"/>
        <w:jc w:val="both"/>
        <w:rPr>
          <w:rFonts w:ascii="Calibri" w:eastAsia="Times New Roman" w:hAnsi="Calibri" w:cs="Calibri"/>
          <w:sz w:val="20"/>
          <w:szCs w:val="20"/>
        </w:rPr>
      </w:pPr>
    </w:p>
    <w:p w14:paraId="43FFD517" w14:textId="77777777" w:rsidR="001C5772" w:rsidRPr="00BE736B" w:rsidRDefault="001C5772" w:rsidP="001C5772">
      <w:pPr>
        <w:rPr>
          <w:rFonts w:ascii="Calibri" w:hAnsi="Calibri" w:cs="Calibri"/>
          <w:sz w:val="20"/>
          <w:szCs w:val="20"/>
        </w:rPr>
      </w:pPr>
    </w:p>
    <w:p w14:paraId="7E247B36" w14:textId="77777777" w:rsidR="001C5772" w:rsidRDefault="001C5772"/>
    <w:sectPr w:rsidR="001C57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00"/>
    <w:family w:val="auto"/>
    <w:pitch w:val="variable"/>
    <w:sig w:usb0="A00002AF" w:usb1="5000206A"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Bookman Old Style">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0DAF"/>
    <w:multiLevelType w:val="hybridMultilevel"/>
    <w:tmpl w:val="0A4EAE1E"/>
    <w:lvl w:ilvl="0" w:tplc="25D0ED10">
      <w:start w:val="1"/>
      <w:numFmt w:val="lowerLetter"/>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C5EA5"/>
    <w:multiLevelType w:val="hybridMultilevel"/>
    <w:tmpl w:val="2F7ACE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B6F430B"/>
    <w:multiLevelType w:val="hybridMultilevel"/>
    <w:tmpl w:val="673829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BB26FFC"/>
    <w:multiLevelType w:val="hybridMultilevel"/>
    <w:tmpl w:val="BDC489FA"/>
    <w:lvl w:ilvl="0" w:tplc="201E954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411B7F"/>
    <w:multiLevelType w:val="hybridMultilevel"/>
    <w:tmpl w:val="04385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F8014D"/>
    <w:multiLevelType w:val="hybridMultilevel"/>
    <w:tmpl w:val="383E02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3036E"/>
    <w:multiLevelType w:val="hybridMultilevel"/>
    <w:tmpl w:val="10D88264"/>
    <w:lvl w:ilvl="0" w:tplc="B84A90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2F66B1"/>
    <w:multiLevelType w:val="hybridMultilevel"/>
    <w:tmpl w:val="EB0CB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93E8B"/>
    <w:multiLevelType w:val="multilevel"/>
    <w:tmpl w:val="35AA3470"/>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0A21AA8"/>
    <w:multiLevelType w:val="hybridMultilevel"/>
    <w:tmpl w:val="B18E45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20FB7432"/>
    <w:multiLevelType w:val="multilevel"/>
    <w:tmpl w:val="C33C65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27D512A"/>
    <w:multiLevelType w:val="hybridMultilevel"/>
    <w:tmpl w:val="165E9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67D9C"/>
    <w:multiLevelType w:val="hybridMultilevel"/>
    <w:tmpl w:val="E738F490"/>
    <w:lvl w:ilvl="0" w:tplc="2D8E0F3C">
      <w:numFmt w:val="bullet"/>
      <w:lvlText w:val="•"/>
      <w:lvlJc w:val="left"/>
      <w:pPr>
        <w:ind w:left="720" w:hanging="360"/>
      </w:pPr>
      <w:rPr>
        <w:rFonts w:ascii="EYInterstate Light" w:eastAsiaTheme="minorHAnsi" w:hAnsi="EYInterstate Light" w:cstheme="minorHAnsi" w:hint="default"/>
      </w:rPr>
    </w:lvl>
    <w:lvl w:ilvl="1" w:tplc="2D8E0F3C">
      <w:numFmt w:val="bullet"/>
      <w:lvlText w:val="•"/>
      <w:lvlJc w:val="left"/>
      <w:pPr>
        <w:ind w:left="1440" w:hanging="360"/>
      </w:pPr>
      <w:rPr>
        <w:rFonts w:ascii="EYInterstate Light" w:eastAsiaTheme="minorHAnsi" w:hAnsi="EYInterstate Light" w:cstheme="minorHAnsi" w:hint="default"/>
      </w:rPr>
    </w:lvl>
    <w:lvl w:ilvl="2" w:tplc="2D8E0F3C">
      <w:numFmt w:val="bullet"/>
      <w:lvlText w:val="•"/>
      <w:lvlJc w:val="left"/>
      <w:pPr>
        <w:ind w:left="2160" w:hanging="360"/>
      </w:pPr>
      <w:rPr>
        <w:rFonts w:ascii="EYInterstate Light" w:eastAsiaTheme="minorHAnsi" w:hAnsi="EYInterstate Light" w:cstheme="minorHAnsi" w:hint="default"/>
      </w:rPr>
    </w:lvl>
    <w:lvl w:ilvl="3" w:tplc="2D8E0F3C">
      <w:numFmt w:val="bullet"/>
      <w:lvlText w:val="•"/>
      <w:lvlJc w:val="left"/>
      <w:pPr>
        <w:ind w:left="2880" w:hanging="360"/>
      </w:pPr>
      <w:rPr>
        <w:rFonts w:ascii="EYInterstate Light" w:eastAsiaTheme="minorHAnsi" w:hAnsi="EYInterstate Light" w:cstheme="minorHAns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121EE"/>
    <w:multiLevelType w:val="hybridMultilevel"/>
    <w:tmpl w:val="C64AAB28"/>
    <w:lvl w:ilvl="0" w:tplc="86C6F56A">
      <w:start w:val="1"/>
      <w:numFmt w:val="bullet"/>
      <w:lvlText w:val="•"/>
      <w:lvlJc w:val="left"/>
      <w:pPr>
        <w:ind w:left="720" w:hanging="360"/>
      </w:pPr>
      <w:rPr>
        <w:rFonts w:ascii="EYInterstate Light" w:hAnsi="EYInterstate Light" w:hint="default"/>
      </w:rPr>
    </w:lvl>
    <w:lvl w:ilvl="1" w:tplc="86C6F56A">
      <w:start w:val="1"/>
      <w:numFmt w:val="bullet"/>
      <w:lvlText w:val="•"/>
      <w:lvlJc w:val="left"/>
      <w:pPr>
        <w:ind w:left="1440" w:hanging="360"/>
      </w:pPr>
      <w:rPr>
        <w:rFonts w:ascii="EYInterstate Light" w:hAnsi="EYInterstate Light" w:hint="default"/>
      </w:rPr>
    </w:lvl>
    <w:lvl w:ilvl="2" w:tplc="86C6F56A">
      <w:start w:val="1"/>
      <w:numFmt w:val="bullet"/>
      <w:lvlText w:val="•"/>
      <w:lvlJc w:val="left"/>
      <w:pPr>
        <w:ind w:left="2160" w:hanging="360"/>
      </w:pPr>
      <w:rPr>
        <w:rFonts w:ascii="EYInterstate Light" w:hAnsi="EYInterstate Light"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F781E12"/>
    <w:multiLevelType w:val="hybridMultilevel"/>
    <w:tmpl w:val="9E6AE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1628C3"/>
    <w:multiLevelType w:val="hybridMultilevel"/>
    <w:tmpl w:val="D348F0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3B6333"/>
    <w:multiLevelType w:val="hybridMultilevel"/>
    <w:tmpl w:val="D772E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E737BE"/>
    <w:multiLevelType w:val="hybridMultilevel"/>
    <w:tmpl w:val="1EB2E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520D88"/>
    <w:multiLevelType w:val="hybridMultilevel"/>
    <w:tmpl w:val="79FC1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8EF3BDD"/>
    <w:multiLevelType w:val="hybridMultilevel"/>
    <w:tmpl w:val="40740794"/>
    <w:lvl w:ilvl="0" w:tplc="86C6F56A">
      <w:start w:val="1"/>
      <w:numFmt w:val="bullet"/>
      <w:lvlText w:val="•"/>
      <w:lvlJc w:val="left"/>
      <w:pPr>
        <w:ind w:left="720" w:hanging="360"/>
      </w:pPr>
      <w:rPr>
        <w:rFonts w:ascii="EYInterstate Light" w:hAnsi="EYInterstate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121974"/>
    <w:multiLevelType w:val="hybridMultilevel"/>
    <w:tmpl w:val="F2CE832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4DF32F82"/>
    <w:multiLevelType w:val="hybridMultilevel"/>
    <w:tmpl w:val="5F06EDF6"/>
    <w:lvl w:ilvl="0" w:tplc="401AB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F37E12"/>
    <w:multiLevelType w:val="hybridMultilevel"/>
    <w:tmpl w:val="8610AA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5515A6"/>
    <w:multiLevelType w:val="hybridMultilevel"/>
    <w:tmpl w:val="8072F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576C13"/>
    <w:multiLevelType w:val="hybridMultilevel"/>
    <w:tmpl w:val="6F081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31748D"/>
    <w:multiLevelType w:val="hybridMultilevel"/>
    <w:tmpl w:val="07967A52"/>
    <w:lvl w:ilvl="0" w:tplc="0409001B">
      <w:start w:val="1"/>
      <w:numFmt w:val="lowerRoman"/>
      <w:lvlText w:val="%1."/>
      <w:lvlJc w:val="righ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26" w15:restartNumberingAfterBreak="0">
    <w:nsid w:val="67AC053D"/>
    <w:multiLevelType w:val="multilevel"/>
    <w:tmpl w:val="5194EA7C"/>
    <w:lvl w:ilvl="0">
      <w:start w:val="1"/>
      <w:numFmt w:val="decimal"/>
      <w:lvlText w:val="%1."/>
      <w:lvlJc w:val="left"/>
      <w:pPr>
        <w:tabs>
          <w:tab w:val="num" w:pos="720"/>
        </w:tabs>
        <w:ind w:left="720" w:hanging="360"/>
      </w:pPr>
    </w:lvl>
    <w:lvl w:ilvl="1">
      <w:start w:val="5"/>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9BA5CB1"/>
    <w:multiLevelType w:val="hybridMultilevel"/>
    <w:tmpl w:val="3DEC04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15F0804"/>
    <w:multiLevelType w:val="hybridMultilevel"/>
    <w:tmpl w:val="42180DE8"/>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9" w15:restartNumberingAfterBreak="0">
    <w:nsid w:val="726F5A88"/>
    <w:multiLevelType w:val="multilevel"/>
    <w:tmpl w:val="C9F8B3D6"/>
    <w:lvl w:ilvl="0">
      <w:start w:val="1"/>
      <w:numFmt w:val="decimal"/>
      <w:lvlText w:val="%1."/>
      <w:lvlJc w:val="left"/>
      <w:pPr>
        <w:tabs>
          <w:tab w:val="num" w:pos="720"/>
        </w:tabs>
        <w:ind w:left="720" w:hanging="360"/>
      </w:pPr>
    </w:lvl>
    <w:lvl w:ilvl="1">
      <w:start w:val="4"/>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6753708"/>
    <w:multiLevelType w:val="hybridMultilevel"/>
    <w:tmpl w:val="D1D0C5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071865"/>
    <w:multiLevelType w:val="hybridMultilevel"/>
    <w:tmpl w:val="5FFCA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B0651D"/>
    <w:multiLevelType w:val="hybridMultilevel"/>
    <w:tmpl w:val="29F0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EE70EF"/>
    <w:multiLevelType w:val="hybridMultilevel"/>
    <w:tmpl w:val="0ECE2FDA"/>
    <w:lvl w:ilvl="0" w:tplc="50B24C5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C2142FB"/>
    <w:multiLevelType w:val="hybridMultilevel"/>
    <w:tmpl w:val="96886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862253"/>
    <w:multiLevelType w:val="multilevel"/>
    <w:tmpl w:val="237EED4A"/>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FCA4D48"/>
    <w:multiLevelType w:val="hybridMultilevel"/>
    <w:tmpl w:val="C308B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27"/>
  </w:num>
  <w:num w:numId="8">
    <w:abstractNumId w:val="1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12"/>
  </w:num>
  <w:num w:numId="13">
    <w:abstractNumId w:val="13"/>
  </w:num>
  <w:num w:numId="14">
    <w:abstractNumId w:val="1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7"/>
  </w:num>
  <w:num w:numId="22">
    <w:abstractNumId w:val="11"/>
  </w:num>
  <w:num w:numId="23">
    <w:abstractNumId w:val="15"/>
  </w:num>
  <w:num w:numId="24">
    <w:abstractNumId w:val="22"/>
  </w:num>
  <w:num w:numId="25">
    <w:abstractNumId w:val="36"/>
  </w:num>
  <w:num w:numId="26">
    <w:abstractNumId w:val="23"/>
  </w:num>
  <w:num w:numId="27">
    <w:abstractNumId w:val="30"/>
  </w:num>
  <w:num w:numId="28">
    <w:abstractNumId w:val="5"/>
  </w:num>
  <w:num w:numId="29">
    <w:abstractNumId w:val="17"/>
  </w:num>
  <w:num w:numId="30">
    <w:abstractNumId w:val="31"/>
  </w:num>
  <w:num w:numId="31">
    <w:abstractNumId w:val="4"/>
  </w:num>
  <w:num w:numId="32">
    <w:abstractNumId w:val="32"/>
  </w:num>
  <w:num w:numId="33">
    <w:abstractNumId w:val="14"/>
  </w:num>
  <w:num w:numId="34">
    <w:abstractNumId w:val="0"/>
  </w:num>
  <w:num w:numId="35">
    <w:abstractNumId w:val="34"/>
  </w:num>
  <w:num w:numId="36">
    <w:abstractNumId w:val="6"/>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772"/>
    <w:rsid w:val="001C5772"/>
    <w:rsid w:val="005C5B0C"/>
    <w:rsid w:val="006E0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13C0B"/>
  <w15:chartTrackingRefBased/>
  <w15:docId w15:val="{FA2CD924-D3DF-4FFD-8C04-9880F30C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772"/>
  </w:style>
  <w:style w:type="paragraph" w:styleId="Heading2">
    <w:name w:val="heading 2"/>
    <w:basedOn w:val="Normal"/>
    <w:next w:val="Normal"/>
    <w:link w:val="Heading2Char"/>
    <w:uiPriority w:val="9"/>
    <w:unhideWhenUsed/>
    <w:qFormat/>
    <w:rsid w:val="001C57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577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C5772"/>
    <w:pPr>
      <w:ind w:left="720"/>
      <w:contextualSpacing/>
    </w:pPr>
  </w:style>
  <w:style w:type="table" w:styleId="TableGrid">
    <w:name w:val="Table Grid"/>
    <w:basedOn w:val="TableNormal"/>
    <w:uiPriority w:val="39"/>
    <w:rsid w:val="001C5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5772"/>
    <w:pPr>
      <w:spacing w:after="0" w:line="240" w:lineRule="auto"/>
    </w:pPr>
  </w:style>
  <w:style w:type="paragraph" w:customStyle="1" w:styleId="Body">
    <w:name w:val="Body"/>
    <w:rsid w:val="001C5772"/>
    <w:pPr>
      <w:pBdr>
        <w:top w:val="nil"/>
        <w:left w:val="nil"/>
        <w:bottom w:val="nil"/>
        <w:right w:val="nil"/>
        <w:between w:val="nil"/>
        <w:bar w:val="nil"/>
      </w:pBdr>
      <w:spacing w:after="0" w:line="240" w:lineRule="auto"/>
    </w:pPr>
    <w:rPr>
      <w:rFonts w:ascii="Bookman Old Style" w:eastAsia="Arial Unicode MS" w:hAnsi="Bookman Old Style" w:cs="Arial Unicode MS"/>
      <w:color w:val="000000"/>
      <w:sz w:val="24"/>
      <w:szCs w:val="24"/>
      <w:bdr w:val="nil"/>
      <w14:textOutline w14:w="0" w14:cap="flat" w14:cmpd="sng" w14:algn="ctr">
        <w14:noFill/>
        <w14:prstDash w14:val="solid"/>
        <w14:bevel/>
      </w14:textOutline>
    </w:rPr>
  </w:style>
  <w:style w:type="paragraph" w:customStyle="1" w:styleId="xmsonormal">
    <w:name w:val="x_msonormal"/>
    <w:basedOn w:val="Normal"/>
    <w:rsid w:val="001C5772"/>
    <w:pPr>
      <w:spacing w:after="0" w:line="240" w:lineRule="auto"/>
    </w:pPr>
    <w:rPr>
      <w:rFonts w:ascii="Calibri" w:hAnsi="Calibri" w:cs="Calibri"/>
    </w:rPr>
  </w:style>
  <w:style w:type="paragraph" w:customStyle="1" w:styleId="xmsolistparagraph">
    <w:name w:val="x_msolistparagraph"/>
    <w:basedOn w:val="Normal"/>
    <w:rsid w:val="001C5772"/>
    <w:pPr>
      <w:spacing w:after="0" w:line="240" w:lineRule="auto"/>
      <w:ind w:left="720"/>
    </w:pPr>
    <w:rPr>
      <w:rFonts w:ascii="Calibri" w:hAnsi="Calibri" w:cs="Calibri"/>
    </w:rPr>
  </w:style>
  <w:style w:type="character" w:styleId="Hyperlink">
    <w:name w:val="Hyperlink"/>
    <w:basedOn w:val="DefaultParagraphFont"/>
    <w:uiPriority w:val="99"/>
    <w:unhideWhenUsed/>
    <w:rsid w:val="001C5772"/>
    <w:rPr>
      <w:color w:val="0563C1"/>
      <w:u w:val="single"/>
    </w:rPr>
  </w:style>
  <w:style w:type="paragraph" w:styleId="BalloonText">
    <w:name w:val="Balloon Text"/>
    <w:basedOn w:val="Normal"/>
    <w:link w:val="BalloonTextChar"/>
    <w:uiPriority w:val="99"/>
    <w:semiHidden/>
    <w:unhideWhenUsed/>
    <w:rsid w:val="001C57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772"/>
    <w:rPr>
      <w:rFonts w:ascii="Segoe UI" w:hAnsi="Segoe UI" w:cs="Segoe UI"/>
      <w:sz w:val="18"/>
      <w:szCs w:val="18"/>
    </w:rPr>
  </w:style>
  <w:style w:type="paragraph" w:customStyle="1" w:styleId="xxmsonormal">
    <w:name w:val="x_xmsonormal"/>
    <w:basedOn w:val="Normal"/>
    <w:rsid w:val="001C5772"/>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1C5772"/>
    <w:rPr>
      <w:sz w:val="16"/>
      <w:szCs w:val="16"/>
    </w:rPr>
  </w:style>
  <w:style w:type="paragraph" w:styleId="CommentText">
    <w:name w:val="annotation text"/>
    <w:basedOn w:val="Normal"/>
    <w:link w:val="CommentTextChar"/>
    <w:uiPriority w:val="99"/>
    <w:semiHidden/>
    <w:unhideWhenUsed/>
    <w:rsid w:val="001C5772"/>
    <w:pPr>
      <w:spacing w:line="240" w:lineRule="auto"/>
    </w:pPr>
    <w:rPr>
      <w:sz w:val="20"/>
      <w:szCs w:val="20"/>
    </w:rPr>
  </w:style>
  <w:style w:type="character" w:customStyle="1" w:styleId="CommentTextChar">
    <w:name w:val="Comment Text Char"/>
    <w:basedOn w:val="DefaultParagraphFont"/>
    <w:link w:val="CommentText"/>
    <w:uiPriority w:val="99"/>
    <w:semiHidden/>
    <w:rsid w:val="001C5772"/>
    <w:rPr>
      <w:sz w:val="20"/>
      <w:szCs w:val="20"/>
    </w:rPr>
  </w:style>
  <w:style w:type="character" w:styleId="UnresolvedMention">
    <w:name w:val="Unresolved Mention"/>
    <w:basedOn w:val="DefaultParagraphFont"/>
    <w:uiPriority w:val="99"/>
    <w:semiHidden/>
    <w:unhideWhenUsed/>
    <w:rsid w:val="001C5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SA-RRDS@bsp.gov.ph"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MC22_S2020@sec.gov.p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submission@bir.gov.ph" TargetMode="External"/><Relationship Id="rId5" Type="http://schemas.openxmlformats.org/officeDocument/2006/relationships/numbering" Target="numbering.xml"/><Relationship Id="rId15" Type="http://schemas.openxmlformats.org/officeDocument/2006/relationships/hyperlink" Target="https://www.bsp.sov.ph/Regulations/lssuances/2020/CPPI%20Form.xls" TargetMode="External"/><Relationship Id="rId10" Type="http://schemas.openxmlformats.org/officeDocument/2006/relationships/oleObject" Target="embeddings/oleObject1.bin"/><Relationship Id="rId19" Type="http://schemas.openxmlformats.org/officeDocument/2006/relationships/hyperlink" Target="mailto:MC28_S2020@sec.gov.ph"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CE81D0E9067B4C9491F29EF2260D9A" ma:contentTypeVersion="13" ma:contentTypeDescription="Create a new document." ma:contentTypeScope="" ma:versionID="f439578363ef9fb64aa9c406ba039b9b">
  <xsd:schema xmlns:xsd="http://www.w3.org/2001/XMLSchema" xmlns:xs="http://www.w3.org/2001/XMLSchema" xmlns:p="http://schemas.microsoft.com/office/2006/metadata/properties" xmlns:ns3="6dff4707-7bf8-4102-b125-42e04ae9fdfc" xmlns:ns4="1ee2afc6-efc0-4dcc-be09-aabefb754106" targetNamespace="http://schemas.microsoft.com/office/2006/metadata/properties" ma:root="true" ma:fieldsID="c71f38b12ca5f02d2f2566dbd01ea415" ns3:_="" ns4:_="">
    <xsd:import namespace="6dff4707-7bf8-4102-b125-42e04ae9fdfc"/>
    <xsd:import namespace="1ee2afc6-efc0-4dcc-be09-aabefb75410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f4707-7bf8-4102-b125-42e04ae9fd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e2afc6-efc0-4dcc-be09-aabefb7541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D8419-79DF-4C33-888A-CC15DDC002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168DF0-9E81-4CFA-85ED-B73085632657}">
  <ds:schemaRefs>
    <ds:schemaRef ds:uri="http://schemas.microsoft.com/sharepoint/v3/contenttype/forms"/>
  </ds:schemaRefs>
</ds:datastoreItem>
</file>

<file path=customXml/itemProps3.xml><?xml version="1.0" encoding="utf-8"?>
<ds:datastoreItem xmlns:ds="http://schemas.openxmlformats.org/officeDocument/2006/customXml" ds:itemID="{C4FF4EB5-2505-49C6-B450-DAB377339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f4707-7bf8-4102-b125-42e04ae9fdfc"/>
    <ds:schemaRef ds:uri="1ee2afc6-efc0-4dcc-be09-aabefb754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F2FED2-77D6-4445-B7D3-2148074AE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14070</Words>
  <Characters>80200</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Rosalie T Lapuz</dc:creator>
  <cp:keywords/>
  <dc:description/>
  <cp:lastModifiedBy>Glenie Gay Valeroso</cp:lastModifiedBy>
  <cp:revision>3</cp:revision>
  <dcterms:created xsi:type="dcterms:W3CDTF">2021-01-26T05:33:00Z</dcterms:created>
  <dcterms:modified xsi:type="dcterms:W3CDTF">2021-01-29T01:37:00Z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0x010100A2CE81D0E9067B4C9491F29EF2260D9A</vt:lpwstr>
  </property>
</Properties>
</file>