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HAnsi" w:hAnsiTheme="minorHAnsi" w:cstheme="minorBidi"/>
          <w:b w:val="0"/>
          <w:bCs w:val="0"/>
          <w:i/>
          <w:iCs/>
          <w:color w:val="auto"/>
          <w:kern w:val="2"/>
          <w:sz w:val="24"/>
          <w:szCs w:val="24"/>
          <w:lang w:val="en-PH" w:eastAsia="ja-JP"/>
        </w:rPr>
        <w:id w:val="122890271"/>
        <w:docPartObj>
          <w:docPartGallery w:val="Table of Contents"/>
          <w:docPartUnique/>
        </w:docPartObj>
      </w:sdtPr>
      <w:sdtEndPr>
        <w:rPr>
          <w:rFonts w:ascii="Georgia" w:eastAsiaTheme="majorEastAsia" w:hAnsi="Georgia" w:cstheme="majorBidi"/>
          <w:b/>
          <w:bCs/>
          <w:i w:val="0"/>
          <w:iCs w:val="0"/>
          <w:color w:val="2F5496" w:themeColor="accent1" w:themeShade="BF"/>
          <w:kern w:val="0"/>
          <w:sz w:val="20"/>
          <w:szCs w:val="20"/>
          <w:lang w:val="en-US" w:eastAsia="en-US"/>
        </w:rPr>
      </w:sdtEndPr>
      <w:sdtContent>
        <w:p w14:paraId="79EDBF83" w14:textId="5EA20B56" w:rsidR="00E10756" w:rsidRPr="007C33E8" w:rsidRDefault="009907CA" w:rsidP="00EE3796">
          <w:pPr>
            <w:pStyle w:val="TOCHeading"/>
            <w:spacing w:after="240"/>
            <w:ind w:left="1560" w:hanging="142"/>
            <w:rPr>
              <w:rFonts w:ascii="Georgia" w:hAnsi="Georgia"/>
              <w:kern w:val="2"/>
              <w:sz w:val="20"/>
              <w:szCs w:val="20"/>
              <w:lang w:eastAsia="ja-JP"/>
            </w:rPr>
          </w:pPr>
          <w:r w:rsidRPr="00871CF0">
            <w:rPr>
              <w:rFonts w:asciiTheme="minorHAnsi" w:hAnsiTheme="minorHAnsi"/>
              <w:b w:val="0"/>
              <w:bCs w:val="0"/>
              <w:noProof/>
              <w:sz w:val="24"/>
              <w:szCs w:val="24"/>
            </w:rPr>
            <mc:AlternateContent>
              <mc:Choice Requires="wps">
                <w:drawing>
                  <wp:anchor distT="0" distB="0" distL="114300" distR="114300" simplePos="0" relativeHeight="251659264" behindDoc="0" locked="0" layoutInCell="1" allowOverlap="1" wp14:anchorId="54313945" wp14:editId="45190D2E">
                    <wp:simplePos x="0" y="0"/>
                    <wp:positionH relativeFrom="column">
                      <wp:posOffset>-548640</wp:posOffset>
                    </wp:positionH>
                    <wp:positionV relativeFrom="paragraph">
                      <wp:posOffset>1116661</wp:posOffset>
                    </wp:positionV>
                    <wp:extent cx="1637030" cy="7529886"/>
                    <wp:effectExtent l="0" t="0" r="1270" b="1270"/>
                    <wp:wrapNone/>
                    <wp:docPr id="3" name="Text Box 3"/>
                    <wp:cNvGraphicFramePr/>
                    <a:graphic xmlns:a="http://schemas.openxmlformats.org/drawingml/2006/main">
                      <a:graphicData uri="http://schemas.microsoft.com/office/word/2010/wordprocessingShape">
                        <wps:wsp>
                          <wps:cNvSpPr txBox="1"/>
                          <wps:spPr>
                            <a:xfrm>
                              <a:off x="0" y="0"/>
                              <a:ext cx="1637030" cy="7529886"/>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5A347F9" w14:textId="0386C1EE" w:rsidR="003944BB" w:rsidRPr="007C33E8" w:rsidRDefault="003944BB" w:rsidP="00EE51BF">
                                <w:pPr>
                                  <w:rPr>
                                    <w:rFonts w:ascii="Georgia" w:hAnsi="Georgia"/>
                                    <w:sz w:val="16"/>
                                    <w:szCs w:val="16"/>
                                  </w:rPr>
                                </w:pPr>
                                <w:r w:rsidRPr="007C33E8">
                                  <w:rPr>
                                    <w:rFonts w:ascii="Georgia" w:hAnsi="Georgia"/>
                                    <w:b/>
                                    <w:bCs/>
                                    <w:i/>
                                    <w:iCs/>
                                    <w:sz w:val="16"/>
                                    <w:szCs w:val="16"/>
                                  </w:rPr>
                                  <w:t xml:space="preserve">OFFICERS </w:t>
                                </w:r>
                              </w:p>
                              <w:p w14:paraId="53957F0E" w14:textId="77777777" w:rsidR="009907CA" w:rsidRDefault="009907CA" w:rsidP="00EE51BF">
                                <w:pPr>
                                  <w:rPr>
                                    <w:rFonts w:ascii="Georgia" w:hAnsi="Georgia"/>
                                    <w:sz w:val="16"/>
                                    <w:szCs w:val="16"/>
                                  </w:rPr>
                                </w:pPr>
                              </w:p>
                              <w:p w14:paraId="34B01B28" w14:textId="0667B4F3" w:rsidR="003944BB" w:rsidRPr="007C33E8" w:rsidRDefault="003944BB" w:rsidP="00EE51BF">
                                <w:pPr>
                                  <w:rPr>
                                    <w:rFonts w:ascii="Georgia" w:hAnsi="Georgia"/>
                                    <w:sz w:val="16"/>
                                    <w:szCs w:val="16"/>
                                  </w:rPr>
                                </w:pPr>
                                <w:r w:rsidRPr="007C33E8">
                                  <w:rPr>
                                    <w:rFonts w:ascii="Georgia" w:hAnsi="Georgia"/>
                                    <w:sz w:val="16"/>
                                    <w:szCs w:val="16"/>
                                  </w:rPr>
                                  <w:t xml:space="preserve">ROMEO H. DURAN </w:t>
                                </w:r>
                              </w:p>
                              <w:p w14:paraId="4590A9AA" w14:textId="77777777" w:rsidR="003944BB" w:rsidRPr="007C33E8" w:rsidRDefault="003944BB" w:rsidP="00EE51BF">
                                <w:pPr>
                                  <w:rPr>
                                    <w:rFonts w:ascii="Georgia" w:hAnsi="Georgia"/>
                                    <w:i/>
                                    <w:iCs/>
                                    <w:sz w:val="16"/>
                                    <w:szCs w:val="16"/>
                                  </w:rPr>
                                </w:pPr>
                                <w:r w:rsidRPr="007C33E8">
                                  <w:rPr>
                                    <w:rFonts w:ascii="Georgia" w:hAnsi="Georgia"/>
                                    <w:i/>
                                    <w:iCs/>
                                    <w:sz w:val="16"/>
                                    <w:szCs w:val="16"/>
                                  </w:rPr>
                                  <w:t xml:space="preserve">President </w:t>
                                </w:r>
                              </w:p>
                              <w:p w14:paraId="2B4B50CA" w14:textId="77777777" w:rsidR="003944BB" w:rsidRPr="007C33E8" w:rsidRDefault="003944BB" w:rsidP="00EE51BF">
                                <w:pPr>
                                  <w:rPr>
                                    <w:rFonts w:ascii="Georgia" w:hAnsi="Georgia"/>
                                    <w:i/>
                                    <w:iCs/>
                                    <w:sz w:val="16"/>
                                    <w:szCs w:val="16"/>
                                  </w:rPr>
                                </w:pPr>
                                <w:r w:rsidRPr="007C33E8">
                                  <w:rPr>
                                    <w:rFonts w:ascii="Georgia" w:hAnsi="Georgia"/>
                                    <w:i/>
                                    <w:iCs/>
                                    <w:sz w:val="16"/>
                                    <w:szCs w:val="16"/>
                                  </w:rPr>
                                  <w:t xml:space="preserve">Sapalo Velez Bundang and Bulilan </w:t>
                                </w:r>
                              </w:p>
                              <w:p w14:paraId="265808BB" w14:textId="77777777" w:rsidR="003944BB" w:rsidRPr="007C33E8" w:rsidRDefault="003944BB" w:rsidP="00EE51BF">
                                <w:pPr>
                                  <w:rPr>
                                    <w:rFonts w:ascii="Georgia" w:hAnsi="Georgia"/>
                                    <w:sz w:val="16"/>
                                    <w:szCs w:val="16"/>
                                  </w:rPr>
                                </w:pPr>
                              </w:p>
                              <w:p w14:paraId="6E034F1C" w14:textId="3FE2AD48" w:rsidR="003944BB" w:rsidRPr="007C33E8" w:rsidRDefault="003944BB" w:rsidP="00EE51BF">
                                <w:pPr>
                                  <w:rPr>
                                    <w:rFonts w:ascii="Georgia" w:hAnsi="Georgia"/>
                                    <w:sz w:val="16"/>
                                    <w:szCs w:val="16"/>
                                  </w:rPr>
                                </w:pPr>
                                <w:r w:rsidRPr="007C33E8">
                                  <w:rPr>
                                    <w:rFonts w:ascii="Georgia" w:hAnsi="Georgia"/>
                                    <w:sz w:val="16"/>
                                    <w:szCs w:val="16"/>
                                  </w:rPr>
                                  <w:t xml:space="preserve">PRISCILLA B. VALER </w:t>
                                </w:r>
                              </w:p>
                              <w:p w14:paraId="3E793F3B" w14:textId="77777777" w:rsidR="003944BB" w:rsidRPr="007C33E8" w:rsidRDefault="003944BB" w:rsidP="00EE51BF">
                                <w:pPr>
                                  <w:rPr>
                                    <w:rFonts w:ascii="Georgia" w:hAnsi="Georgia"/>
                                    <w:i/>
                                    <w:iCs/>
                                    <w:sz w:val="16"/>
                                    <w:szCs w:val="16"/>
                                  </w:rPr>
                                </w:pPr>
                                <w:r w:rsidRPr="007C33E8">
                                  <w:rPr>
                                    <w:rFonts w:ascii="Georgia" w:hAnsi="Georgia"/>
                                    <w:i/>
                                    <w:iCs/>
                                    <w:sz w:val="16"/>
                                    <w:szCs w:val="16"/>
                                  </w:rPr>
                                  <w:t xml:space="preserve">Internal Vice-President </w:t>
                                </w:r>
                              </w:p>
                              <w:p w14:paraId="38BB1838" w14:textId="77777777" w:rsidR="003944BB" w:rsidRPr="007C33E8" w:rsidRDefault="003944BB" w:rsidP="00EE51BF">
                                <w:pPr>
                                  <w:rPr>
                                    <w:rFonts w:ascii="Georgia" w:hAnsi="Georgia"/>
                                    <w:i/>
                                    <w:iCs/>
                                    <w:sz w:val="16"/>
                                    <w:szCs w:val="16"/>
                                  </w:rPr>
                                </w:pPr>
                                <w:r w:rsidRPr="007C33E8">
                                  <w:rPr>
                                    <w:rFonts w:ascii="Georgia" w:hAnsi="Georgia"/>
                                    <w:i/>
                                    <w:iCs/>
                                    <w:sz w:val="16"/>
                                    <w:szCs w:val="16"/>
                                  </w:rPr>
                                  <w:t xml:space="preserve">Romulo Mabanta Buenaventura Sayoc &amp; Delos Angeles </w:t>
                                </w:r>
                              </w:p>
                              <w:p w14:paraId="2B91E6C6" w14:textId="77777777" w:rsidR="003944BB" w:rsidRPr="007C33E8" w:rsidRDefault="003944BB" w:rsidP="00EE51BF">
                                <w:pPr>
                                  <w:rPr>
                                    <w:rFonts w:ascii="Georgia" w:hAnsi="Georgia"/>
                                    <w:sz w:val="16"/>
                                    <w:szCs w:val="16"/>
                                  </w:rPr>
                                </w:pPr>
                              </w:p>
                              <w:p w14:paraId="4F997F88" w14:textId="77777777" w:rsidR="003944BB" w:rsidRPr="007C33E8" w:rsidRDefault="003944BB" w:rsidP="00EE51BF">
                                <w:pPr>
                                  <w:rPr>
                                    <w:rFonts w:ascii="Georgia" w:hAnsi="Georgia"/>
                                    <w:sz w:val="16"/>
                                    <w:szCs w:val="16"/>
                                  </w:rPr>
                                </w:pPr>
                                <w:r w:rsidRPr="007C33E8">
                                  <w:rPr>
                                    <w:rFonts w:ascii="Georgia" w:hAnsi="Georgia"/>
                                    <w:sz w:val="16"/>
                                    <w:szCs w:val="16"/>
                                  </w:rPr>
                                  <w:t xml:space="preserve">RICHARD V. LAPRES </w:t>
                                </w:r>
                              </w:p>
                              <w:p w14:paraId="788E646B" w14:textId="77777777" w:rsidR="003944BB" w:rsidRPr="007C33E8" w:rsidRDefault="003944BB" w:rsidP="00EE51BF">
                                <w:pPr>
                                  <w:rPr>
                                    <w:rFonts w:ascii="Georgia" w:hAnsi="Georgia"/>
                                    <w:i/>
                                    <w:iCs/>
                                    <w:sz w:val="16"/>
                                    <w:szCs w:val="16"/>
                                  </w:rPr>
                                </w:pPr>
                                <w:r w:rsidRPr="007C33E8">
                                  <w:rPr>
                                    <w:rFonts w:ascii="Georgia" w:hAnsi="Georgia"/>
                                    <w:i/>
                                    <w:iCs/>
                                    <w:sz w:val="16"/>
                                    <w:szCs w:val="16"/>
                                  </w:rPr>
                                  <w:t xml:space="preserve">External Vice-President </w:t>
                                </w:r>
                              </w:p>
                              <w:p w14:paraId="24FD5165" w14:textId="77777777" w:rsidR="003944BB" w:rsidRPr="007C33E8" w:rsidRDefault="003944BB" w:rsidP="00EE51BF">
                                <w:pPr>
                                  <w:rPr>
                                    <w:rFonts w:ascii="Georgia" w:hAnsi="Georgia"/>
                                    <w:sz w:val="16"/>
                                    <w:szCs w:val="16"/>
                                  </w:rPr>
                                </w:pPr>
                                <w:r w:rsidRPr="007C33E8">
                                  <w:rPr>
                                    <w:rFonts w:ascii="Georgia" w:hAnsi="Georgia"/>
                                    <w:i/>
                                    <w:iCs/>
                                    <w:sz w:val="16"/>
                                    <w:szCs w:val="16"/>
                                  </w:rPr>
                                  <w:t>Navarro Amper &amp; Co. M</w:t>
                                </w:r>
                                <w:r w:rsidRPr="007C33E8">
                                  <w:rPr>
                                    <w:rFonts w:ascii="Georgia" w:hAnsi="Georgia"/>
                                    <w:sz w:val="16"/>
                                    <w:szCs w:val="16"/>
                                  </w:rPr>
                                  <w:t xml:space="preserve">A </w:t>
                                </w:r>
                              </w:p>
                              <w:p w14:paraId="19B0403A" w14:textId="77777777" w:rsidR="003944BB" w:rsidRPr="007C33E8" w:rsidRDefault="003944BB" w:rsidP="00EE51BF">
                                <w:pPr>
                                  <w:rPr>
                                    <w:rFonts w:ascii="Georgia" w:hAnsi="Georgia"/>
                                    <w:sz w:val="16"/>
                                    <w:szCs w:val="16"/>
                                  </w:rPr>
                                </w:pPr>
                              </w:p>
                              <w:p w14:paraId="09429EF2" w14:textId="77777777" w:rsidR="003944BB" w:rsidRPr="007C33E8" w:rsidRDefault="003944BB" w:rsidP="00EE51BF">
                                <w:pPr>
                                  <w:rPr>
                                    <w:rFonts w:ascii="Georgia" w:hAnsi="Georgia"/>
                                    <w:sz w:val="16"/>
                                    <w:szCs w:val="16"/>
                                  </w:rPr>
                                </w:pPr>
                                <w:r w:rsidRPr="007C33E8">
                                  <w:rPr>
                                    <w:rFonts w:ascii="Georgia" w:hAnsi="Georgia"/>
                                    <w:sz w:val="16"/>
                                    <w:szCs w:val="16"/>
                                  </w:rPr>
                                  <w:t xml:space="preserve">VICTORIA D. SARMIENTO </w:t>
                                </w:r>
                              </w:p>
                              <w:p w14:paraId="2DB9CE7C" w14:textId="5EBCBA44" w:rsidR="003944BB" w:rsidRPr="007C33E8" w:rsidRDefault="003944BB" w:rsidP="00EE51BF">
                                <w:pPr>
                                  <w:rPr>
                                    <w:rFonts w:ascii="Georgia" w:hAnsi="Georgia"/>
                                    <w:i/>
                                    <w:iCs/>
                                    <w:sz w:val="16"/>
                                    <w:szCs w:val="16"/>
                                  </w:rPr>
                                </w:pPr>
                                <w:r w:rsidRPr="007C33E8">
                                  <w:rPr>
                                    <w:rFonts w:ascii="Georgia" w:hAnsi="Georgia"/>
                                    <w:i/>
                                    <w:iCs/>
                                    <w:sz w:val="16"/>
                                    <w:szCs w:val="16"/>
                                  </w:rPr>
                                  <w:t xml:space="preserve">Secretary </w:t>
                                </w:r>
                              </w:p>
                              <w:p w14:paraId="628B10CE" w14:textId="6875F9A1" w:rsidR="003944BB" w:rsidRPr="007C33E8" w:rsidRDefault="003944BB" w:rsidP="00EE51BF">
                                <w:pPr>
                                  <w:rPr>
                                    <w:rFonts w:ascii="Georgia" w:hAnsi="Georgia"/>
                                    <w:i/>
                                    <w:iCs/>
                                    <w:sz w:val="16"/>
                                    <w:szCs w:val="16"/>
                                  </w:rPr>
                                </w:pPr>
                                <w:r w:rsidRPr="007C33E8">
                                  <w:rPr>
                                    <w:rFonts w:ascii="Georgia" w:hAnsi="Georgia"/>
                                    <w:i/>
                                    <w:iCs/>
                                    <w:sz w:val="16"/>
                                    <w:szCs w:val="16"/>
                                  </w:rPr>
                                  <w:t xml:space="preserve">Castillo Laman </w:t>
                                </w:r>
                              </w:p>
                              <w:p w14:paraId="10F694F2" w14:textId="77777777" w:rsidR="003944BB" w:rsidRPr="007C33E8" w:rsidRDefault="003944BB" w:rsidP="00EE51BF">
                                <w:pPr>
                                  <w:rPr>
                                    <w:rFonts w:ascii="Georgia" w:hAnsi="Georgia"/>
                                    <w:sz w:val="16"/>
                                    <w:szCs w:val="16"/>
                                  </w:rPr>
                                </w:pPr>
                              </w:p>
                              <w:p w14:paraId="75434A21" w14:textId="77777777" w:rsidR="003944BB" w:rsidRPr="007C33E8" w:rsidRDefault="003944BB" w:rsidP="00EE51BF">
                                <w:pPr>
                                  <w:rPr>
                                    <w:rFonts w:ascii="Georgia" w:hAnsi="Georgia"/>
                                    <w:sz w:val="16"/>
                                    <w:szCs w:val="16"/>
                                  </w:rPr>
                                </w:pPr>
                                <w:r w:rsidRPr="007C33E8">
                                  <w:rPr>
                                    <w:rFonts w:ascii="Georgia" w:hAnsi="Georgia"/>
                                    <w:sz w:val="16"/>
                                    <w:szCs w:val="16"/>
                                  </w:rPr>
                                  <w:t xml:space="preserve">KRISTINE CHARISSE SIAO </w:t>
                                </w:r>
                                <w:r w:rsidRPr="007C33E8">
                                  <w:rPr>
                                    <w:rFonts w:ascii="Georgia" w:hAnsi="Georgia"/>
                                    <w:i/>
                                    <w:iCs/>
                                    <w:sz w:val="16"/>
                                    <w:szCs w:val="16"/>
                                  </w:rPr>
                                  <w:t xml:space="preserve">Treasurer </w:t>
                                </w:r>
                              </w:p>
                              <w:p w14:paraId="0D97E92C" w14:textId="77777777" w:rsidR="003944BB" w:rsidRPr="007C33E8" w:rsidRDefault="003944BB" w:rsidP="00EE51BF">
                                <w:pPr>
                                  <w:rPr>
                                    <w:rFonts w:ascii="Georgia" w:hAnsi="Georgia"/>
                                    <w:i/>
                                    <w:iCs/>
                                    <w:sz w:val="16"/>
                                    <w:szCs w:val="16"/>
                                  </w:rPr>
                                </w:pPr>
                                <w:r w:rsidRPr="007C33E8">
                                  <w:rPr>
                                    <w:rFonts w:ascii="Georgia" w:hAnsi="Georgia"/>
                                    <w:i/>
                                    <w:iCs/>
                                    <w:sz w:val="16"/>
                                    <w:szCs w:val="16"/>
                                  </w:rPr>
                                  <w:t xml:space="preserve">Villaraza Angangco </w:t>
                                </w:r>
                              </w:p>
                              <w:p w14:paraId="79E3C125" w14:textId="77777777" w:rsidR="003944BB" w:rsidRPr="007C33E8" w:rsidRDefault="003944BB" w:rsidP="00EE51BF">
                                <w:pPr>
                                  <w:rPr>
                                    <w:rFonts w:ascii="Georgia" w:hAnsi="Georgia"/>
                                    <w:sz w:val="16"/>
                                    <w:szCs w:val="16"/>
                                  </w:rPr>
                                </w:pPr>
                              </w:p>
                              <w:p w14:paraId="67E9927B" w14:textId="77777777" w:rsidR="003944BB" w:rsidRPr="007C33E8" w:rsidRDefault="003944BB" w:rsidP="00EE51BF">
                                <w:pPr>
                                  <w:rPr>
                                    <w:rFonts w:ascii="Georgia" w:hAnsi="Georgia"/>
                                    <w:sz w:val="16"/>
                                    <w:szCs w:val="16"/>
                                  </w:rPr>
                                </w:pPr>
                                <w:r w:rsidRPr="007C33E8">
                                  <w:rPr>
                                    <w:rFonts w:ascii="Georgia" w:hAnsi="Georgia"/>
                                    <w:sz w:val="16"/>
                                    <w:szCs w:val="16"/>
                                  </w:rPr>
                                  <w:t xml:space="preserve">ESTER R. PUNONGBAYAN </w:t>
                                </w:r>
                                <w:r w:rsidRPr="007C33E8">
                                  <w:rPr>
                                    <w:rFonts w:ascii="Georgia" w:hAnsi="Georgia"/>
                                    <w:i/>
                                    <w:iCs/>
                                    <w:sz w:val="16"/>
                                    <w:szCs w:val="16"/>
                                  </w:rPr>
                                  <w:t>Auditor</w:t>
                                </w:r>
                              </w:p>
                              <w:p w14:paraId="130D65CE" w14:textId="747ACAFB" w:rsidR="003944BB" w:rsidRPr="007C33E8" w:rsidRDefault="003944BB" w:rsidP="00EE51BF">
                                <w:pPr>
                                  <w:rPr>
                                    <w:rFonts w:ascii="Georgia" w:hAnsi="Georgia"/>
                                    <w:sz w:val="16"/>
                                    <w:szCs w:val="16"/>
                                  </w:rPr>
                                </w:pPr>
                                <w:r w:rsidRPr="007C33E8">
                                  <w:rPr>
                                    <w:rFonts w:ascii="Georgia" w:hAnsi="Georgia"/>
                                    <w:sz w:val="16"/>
                                    <w:szCs w:val="16"/>
                                  </w:rPr>
                                  <w:t>E</w:t>
                                </w:r>
                                <w:r w:rsidRPr="007C33E8">
                                  <w:rPr>
                                    <w:rFonts w:ascii="Georgia" w:hAnsi="Georgia"/>
                                    <w:i/>
                                    <w:iCs/>
                                    <w:sz w:val="16"/>
                                    <w:szCs w:val="16"/>
                                  </w:rPr>
                                  <w:t>. Punongbayan Global Outsourcing, Inc.</w:t>
                                </w:r>
                                <w:r w:rsidRPr="007C33E8">
                                  <w:rPr>
                                    <w:rFonts w:ascii="Georgia" w:hAnsi="Georgia"/>
                                    <w:sz w:val="16"/>
                                    <w:szCs w:val="16"/>
                                  </w:rPr>
                                  <w:t xml:space="preserve"> </w:t>
                                </w:r>
                              </w:p>
                              <w:p w14:paraId="29659AEE" w14:textId="77777777" w:rsidR="003944BB" w:rsidRPr="007C33E8" w:rsidRDefault="003944BB" w:rsidP="00EE51BF">
                                <w:pPr>
                                  <w:rPr>
                                    <w:rFonts w:ascii="Georgia" w:hAnsi="Georgia"/>
                                    <w:sz w:val="16"/>
                                    <w:szCs w:val="16"/>
                                  </w:rPr>
                                </w:pPr>
                              </w:p>
                              <w:p w14:paraId="1583BF48" w14:textId="77777777" w:rsidR="003944BB" w:rsidRPr="007C33E8" w:rsidRDefault="003944BB" w:rsidP="00EE51BF">
                                <w:pPr>
                                  <w:rPr>
                                    <w:rFonts w:ascii="Georgia" w:hAnsi="Georgia"/>
                                    <w:b/>
                                    <w:bCs/>
                                    <w:i/>
                                    <w:iCs/>
                                    <w:sz w:val="16"/>
                                    <w:szCs w:val="16"/>
                                  </w:rPr>
                                </w:pPr>
                                <w:r w:rsidRPr="007C33E8">
                                  <w:rPr>
                                    <w:rFonts w:ascii="Georgia" w:hAnsi="Georgia"/>
                                    <w:b/>
                                    <w:bCs/>
                                    <w:i/>
                                    <w:iCs/>
                                    <w:sz w:val="16"/>
                                    <w:szCs w:val="16"/>
                                  </w:rPr>
                                  <w:t xml:space="preserve">DIRECTORS </w:t>
                                </w:r>
                              </w:p>
                              <w:p w14:paraId="1A1C881A" w14:textId="77777777" w:rsidR="003944BB" w:rsidRPr="007C33E8" w:rsidRDefault="003944BB" w:rsidP="00EE51BF">
                                <w:pPr>
                                  <w:rPr>
                                    <w:rFonts w:ascii="Georgia" w:hAnsi="Georgia"/>
                                    <w:sz w:val="16"/>
                                    <w:szCs w:val="16"/>
                                  </w:rPr>
                                </w:pPr>
                              </w:p>
                              <w:p w14:paraId="7195D862" w14:textId="77777777" w:rsidR="003944BB" w:rsidRPr="007C33E8" w:rsidRDefault="003944BB" w:rsidP="00EE51BF">
                                <w:pPr>
                                  <w:rPr>
                                    <w:rFonts w:ascii="Georgia" w:hAnsi="Georgia"/>
                                    <w:sz w:val="16"/>
                                    <w:szCs w:val="16"/>
                                  </w:rPr>
                                </w:pPr>
                                <w:r w:rsidRPr="007C33E8">
                                  <w:rPr>
                                    <w:rFonts w:ascii="Georgia" w:hAnsi="Georgia"/>
                                    <w:sz w:val="16"/>
                                    <w:szCs w:val="16"/>
                                  </w:rPr>
                                  <w:t xml:space="preserve">JEWEL M. BAGA </w:t>
                                </w:r>
                              </w:p>
                              <w:p w14:paraId="068F6461" w14:textId="77777777" w:rsidR="003944BB" w:rsidRPr="007C33E8" w:rsidRDefault="003944BB" w:rsidP="00EE51BF">
                                <w:pPr>
                                  <w:rPr>
                                    <w:rFonts w:ascii="Georgia" w:hAnsi="Georgia"/>
                                    <w:i/>
                                    <w:iCs/>
                                    <w:sz w:val="16"/>
                                    <w:szCs w:val="16"/>
                                  </w:rPr>
                                </w:pPr>
                                <w:r w:rsidRPr="007C33E8">
                                  <w:rPr>
                                    <w:rFonts w:ascii="Georgia" w:hAnsi="Georgia"/>
                                    <w:i/>
                                    <w:iCs/>
                                    <w:sz w:val="16"/>
                                    <w:szCs w:val="16"/>
                                  </w:rPr>
                                  <w:t xml:space="preserve">Baga and Associates </w:t>
                                </w:r>
                              </w:p>
                              <w:p w14:paraId="21190EBA" w14:textId="77777777" w:rsidR="003944BB" w:rsidRPr="007C33E8" w:rsidRDefault="003944BB" w:rsidP="00EE51BF">
                                <w:pPr>
                                  <w:rPr>
                                    <w:rFonts w:ascii="Georgia" w:hAnsi="Georgia"/>
                                    <w:sz w:val="16"/>
                                    <w:szCs w:val="16"/>
                                  </w:rPr>
                                </w:pPr>
                              </w:p>
                              <w:p w14:paraId="71B62872" w14:textId="77777777" w:rsidR="003944BB" w:rsidRPr="007C33E8" w:rsidRDefault="003944BB" w:rsidP="00EE51BF">
                                <w:pPr>
                                  <w:rPr>
                                    <w:rFonts w:ascii="Georgia" w:hAnsi="Georgia"/>
                                    <w:sz w:val="16"/>
                                    <w:szCs w:val="16"/>
                                  </w:rPr>
                                </w:pPr>
                                <w:r w:rsidRPr="007C33E8">
                                  <w:rPr>
                                    <w:rFonts w:ascii="Georgia" w:hAnsi="Georgia"/>
                                    <w:sz w:val="16"/>
                                    <w:szCs w:val="16"/>
                                  </w:rPr>
                                  <w:t xml:space="preserve">CYNTHIA L. DELA PAZ </w:t>
                                </w:r>
                              </w:p>
                              <w:p w14:paraId="22675D63" w14:textId="77777777" w:rsidR="003944BB" w:rsidRPr="007C33E8" w:rsidRDefault="003944BB" w:rsidP="00EE51BF">
                                <w:pPr>
                                  <w:rPr>
                                    <w:rFonts w:ascii="Georgia" w:hAnsi="Georgia"/>
                                    <w:i/>
                                    <w:iCs/>
                                    <w:sz w:val="16"/>
                                    <w:szCs w:val="16"/>
                                  </w:rPr>
                                </w:pPr>
                                <w:r w:rsidRPr="007C33E8">
                                  <w:rPr>
                                    <w:rFonts w:ascii="Georgia" w:hAnsi="Georgia"/>
                                    <w:i/>
                                    <w:iCs/>
                                    <w:sz w:val="16"/>
                                    <w:szCs w:val="16"/>
                                  </w:rPr>
                                  <w:t xml:space="preserve">Picazo Buyco Tan Fider &amp; Santos </w:t>
                                </w:r>
                              </w:p>
                              <w:p w14:paraId="41877C3D" w14:textId="77777777" w:rsidR="003944BB" w:rsidRPr="007C33E8" w:rsidRDefault="003944BB" w:rsidP="00EE51BF">
                                <w:pPr>
                                  <w:rPr>
                                    <w:rFonts w:ascii="Georgia" w:hAnsi="Georgia"/>
                                    <w:sz w:val="16"/>
                                    <w:szCs w:val="16"/>
                                  </w:rPr>
                                </w:pPr>
                              </w:p>
                              <w:p w14:paraId="52112298" w14:textId="77777777" w:rsidR="003944BB" w:rsidRPr="007C33E8" w:rsidRDefault="003944BB" w:rsidP="00EE51BF">
                                <w:pPr>
                                  <w:rPr>
                                    <w:rFonts w:ascii="Georgia" w:hAnsi="Georgia"/>
                                    <w:i/>
                                    <w:iCs/>
                                    <w:sz w:val="16"/>
                                    <w:szCs w:val="16"/>
                                  </w:rPr>
                                </w:pPr>
                                <w:r w:rsidRPr="007C33E8">
                                  <w:rPr>
                                    <w:rFonts w:ascii="Georgia" w:hAnsi="Georgia"/>
                                    <w:sz w:val="16"/>
                                    <w:szCs w:val="16"/>
                                  </w:rPr>
                                  <w:t xml:space="preserve">GAY CHRISTINE C. LOPEZ </w:t>
                                </w:r>
                                <w:r w:rsidRPr="007C33E8">
                                  <w:rPr>
                                    <w:rFonts w:ascii="Georgia" w:hAnsi="Georgia"/>
                                    <w:i/>
                                    <w:iCs/>
                                    <w:sz w:val="16"/>
                                    <w:szCs w:val="16"/>
                                  </w:rPr>
                                  <w:t xml:space="preserve">Buñag &amp; Associates </w:t>
                                </w:r>
                              </w:p>
                              <w:p w14:paraId="33C20824" w14:textId="77777777" w:rsidR="003944BB" w:rsidRPr="007C33E8" w:rsidRDefault="003944BB" w:rsidP="00EE51BF">
                                <w:pPr>
                                  <w:rPr>
                                    <w:rFonts w:ascii="Georgia" w:hAnsi="Georgia"/>
                                    <w:i/>
                                    <w:iCs/>
                                    <w:sz w:val="16"/>
                                    <w:szCs w:val="16"/>
                                  </w:rPr>
                                </w:pPr>
                              </w:p>
                              <w:p w14:paraId="3F782611" w14:textId="77777777" w:rsidR="003944BB" w:rsidRPr="007C33E8" w:rsidRDefault="003944BB" w:rsidP="00EE51BF">
                                <w:pPr>
                                  <w:rPr>
                                    <w:rFonts w:ascii="Georgia" w:hAnsi="Georgia"/>
                                    <w:sz w:val="16"/>
                                    <w:szCs w:val="16"/>
                                  </w:rPr>
                                </w:pPr>
                                <w:r w:rsidRPr="007C33E8">
                                  <w:rPr>
                                    <w:rFonts w:ascii="Georgia" w:hAnsi="Georgia"/>
                                    <w:i/>
                                    <w:iCs/>
                                    <w:sz w:val="16"/>
                                    <w:szCs w:val="16"/>
                                  </w:rPr>
                                  <w:t>MARIA</w:t>
                                </w:r>
                                <w:r w:rsidRPr="007C33E8">
                                  <w:rPr>
                                    <w:rFonts w:ascii="Georgia" w:hAnsi="Georgia"/>
                                    <w:sz w:val="16"/>
                                    <w:szCs w:val="16"/>
                                  </w:rPr>
                                  <w:t xml:space="preserve"> NORA N. MANALO </w:t>
                                </w:r>
                              </w:p>
                              <w:p w14:paraId="1BD71302" w14:textId="77777777" w:rsidR="003944BB" w:rsidRPr="007C33E8" w:rsidRDefault="003944BB" w:rsidP="00EE51BF">
                                <w:pPr>
                                  <w:rPr>
                                    <w:rFonts w:ascii="Georgia" w:hAnsi="Georgia"/>
                                    <w:sz w:val="16"/>
                                    <w:szCs w:val="16"/>
                                  </w:rPr>
                                </w:pPr>
                              </w:p>
                              <w:p w14:paraId="7A3DFCDF" w14:textId="7F5931C3" w:rsidR="003944BB" w:rsidRPr="007C33E8" w:rsidRDefault="003944BB" w:rsidP="00EE51BF">
                                <w:pPr>
                                  <w:rPr>
                                    <w:rFonts w:ascii="Georgia" w:hAnsi="Georgia"/>
                                    <w:sz w:val="16"/>
                                    <w:szCs w:val="16"/>
                                  </w:rPr>
                                </w:pPr>
                                <w:r w:rsidRPr="007C33E8">
                                  <w:rPr>
                                    <w:rFonts w:ascii="Georgia" w:hAnsi="Georgia"/>
                                    <w:sz w:val="16"/>
                                    <w:szCs w:val="16"/>
                                  </w:rPr>
                                  <w:t xml:space="preserve">SUZETTE A. CELICIOUS-SY </w:t>
                                </w:r>
                              </w:p>
                              <w:p w14:paraId="21BB7D05" w14:textId="77777777" w:rsidR="003944BB" w:rsidRPr="007C33E8" w:rsidRDefault="003944BB" w:rsidP="00EE51BF">
                                <w:pPr>
                                  <w:rPr>
                                    <w:rFonts w:ascii="Georgia" w:hAnsi="Georgia"/>
                                    <w:i/>
                                    <w:iCs/>
                                    <w:sz w:val="16"/>
                                    <w:szCs w:val="16"/>
                                  </w:rPr>
                                </w:pPr>
                                <w:r w:rsidRPr="007C33E8">
                                  <w:rPr>
                                    <w:rFonts w:ascii="Georgia" w:hAnsi="Georgia"/>
                                    <w:i/>
                                    <w:iCs/>
                                    <w:sz w:val="16"/>
                                    <w:szCs w:val="16"/>
                                  </w:rPr>
                                  <w:t xml:space="preserve">Baniqued Layug &amp; Bello </w:t>
                                </w:r>
                              </w:p>
                              <w:p w14:paraId="1D0BA710" w14:textId="77777777" w:rsidR="003944BB" w:rsidRPr="007C33E8" w:rsidRDefault="003944BB" w:rsidP="00EE51BF">
                                <w:pPr>
                                  <w:rPr>
                                    <w:rFonts w:ascii="Georgia" w:hAnsi="Georgia"/>
                                    <w:sz w:val="16"/>
                                    <w:szCs w:val="16"/>
                                  </w:rPr>
                                </w:pPr>
                              </w:p>
                              <w:p w14:paraId="334862AB" w14:textId="77777777" w:rsidR="003944BB" w:rsidRPr="007C33E8" w:rsidRDefault="003944BB" w:rsidP="00EE51BF">
                                <w:pPr>
                                  <w:rPr>
                                    <w:rFonts w:ascii="Georgia" w:hAnsi="Georgia"/>
                                    <w:sz w:val="16"/>
                                    <w:szCs w:val="16"/>
                                  </w:rPr>
                                </w:pPr>
                                <w:r w:rsidRPr="007C33E8">
                                  <w:rPr>
                                    <w:rFonts w:ascii="Georgia" w:hAnsi="Georgia"/>
                                    <w:sz w:val="16"/>
                                    <w:szCs w:val="16"/>
                                  </w:rPr>
                                  <w:t xml:space="preserve">KRISTEL VIRTUDEZ </w:t>
                                </w:r>
                              </w:p>
                              <w:p w14:paraId="2E39C260" w14:textId="12E3412F" w:rsidR="003944BB" w:rsidRPr="007C33E8" w:rsidRDefault="003944BB" w:rsidP="00EE51BF">
                                <w:pPr>
                                  <w:rPr>
                                    <w:rFonts w:ascii="Georgia" w:hAnsi="Georgia"/>
                                    <w:i/>
                                    <w:iCs/>
                                    <w:sz w:val="16"/>
                                    <w:szCs w:val="16"/>
                                  </w:rPr>
                                </w:pPr>
                                <w:r w:rsidRPr="007C33E8">
                                  <w:rPr>
                                    <w:rFonts w:ascii="Georgia" w:hAnsi="Georgia"/>
                                    <w:i/>
                                    <w:iCs/>
                                    <w:sz w:val="16"/>
                                    <w:szCs w:val="16"/>
                                  </w:rPr>
                                  <w:t xml:space="preserve">Sunlife </w:t>
                                </w:r>
                              </w:p>
                              <w:p w14:paraId="2B82C7EC" w14:textId="77777777" w:rsidR="003944BB" w:rsidRPr="007C33E8" w:rsidRDefault="003944BB" w:rsidP="00EE51BF">
                                <w:pPr>
                                  <w:rPr>
                                    <w:rFonts w:ascii="Georgia" w:hAnsi="Georgia"/>
                                    <w:sz w:val="16"/>
                                    <w:szCs w:val="16"/>
                                  </w:rPr>
                                </w:pPr>
                              </w:p>
                              <w:p w14:paraId="53CC5C69" w14:textId="77777777" w:rsidR="003944BB" w:rsidRPr="007C33E8" w:rsidRDefault="003944BB" w:rsidP="00EE51BF">
                                <w:pPr>
                                  <w:rPr>
                                    <w:rFonts w:ascii="Georgia" w:hAnsi="Georgia"/>
                                    <w:sz w:val="16"/>
                                    <w:szCs w:val="16"/>
                                  </w:rPr>
                                </w:pPr>
                                <w:r w:rsidRPr="007C33E8">
                                  <w:rPr>
                                    <w:rFonts w:ascii="Georgia" w:hAnsi="Georgia"/>
                                    <w:sz w:val="16"/>
                                    <w:szCs w:val="16"/>
                                  </w:rPr>
                                  <w:t xml:space="preserve">LEAH SALCEDO </w:t>
                                </w:r>
                              </w:p>
                              <w:p w14:paraId="2FE8F999" w14:textId="6AF4FE4A" w:rsidR="003944BB" w:rsidRPr="007C33E8" w:rsidRDefault="003944BB" w:rsidP="00C80CA9">
                                <w:pPr>
                                  <w:rPr>
                                    <w:rFonts w:ascii="Georgia" w:hAnsi="Georgia"/>
                                    <w:i/>
                                    <w:iCs/>
                                    <w:sz w:val="16"/>
                                    <w:szCs w:val="16"/>
                                  </w:rPr>
                                </w:pPr>
                                <w:r w:rsidRPr="007C33E8">
                                  <w:rPr>
                                    <w:rFonts w:ascii="Georgia" w:hAnsi="Georgia"/>
                                    <w:i/>
                                    <w:iCs/>
                                    <w:sz w:val="16"/>
                                    <w:szCs w:val="16"/>
                                  </w:rPr>
                                  <w:t xml:space="preserve">Development Bank of the Philippines </w:t>
                                </w:r>
                              </w:p>
                              <w:p w14:paraId="27E03584" w14:textId="77777777" w:rsidR="003944BB" w:rsidRPr="007C33E8" w:rsidRDefault="003944BB" w:rsidP="00EE51BF">
                                <w:pPr>
                                  <w:rPr>
                                    <w:rFonts w:ascii="Georgia" w:hAnsi="Georgia"/>
                                    <w:sz w:val="16"/>
                                    <w:szCs w:val="16"/>
                                  </w:rPr>
                                </w:pPr>
                              </w:p>
                              <w:p w14:paraId="2D786A0B" w14:textId="77777777" w:rsidR="003944BB" w:rsidRPr="007C33E8" w:rsidRDefault="003944BB" w:rsidP="00EE51BF">
                                <w:pPr>
                                  <w:rPr>
                                    <w:rFonts w:ascii="Georgia" w:hAnsi="Georgia"/>
                                    <w:sz w:val="16"/>
                                    <w:szCs w:val="16"/>
                                  </w:rPr>
                                </w:pPr>
                                <w:r w:rsidRPr="007C33E8">
                                  <w:rPr>
                                    <w:rFonts w:ascii="Georgia" w:hAnsi="Georgia"/>
                                    <w:sz w:val="16"/>
                                    <w:szCs w:val="16"/>
                                  </w:rPr>
                                  <w:t xml:space="preserve">SHERRY OBILES-BAURA </w:t>
                                </w:r>
                              </w:p>
                              <w:p w14:paraId="02F8E7E0" w14:textId="77777777" w:rsidR="003944BB" w:rsidRPr="007C33E8" w:rsidRDefault="003944BB" w:rsidP="00EE51BF">
                                <w:pPr>
                                  <w:rPr>
                                    <w:rFonts w:ascii="Georgia" w:hAnsi="Georgia"/>
                                    <w:i/>
                                    <w:iCs/>
                                    <w:sz w:val="16"/>
                                    <w:szCs w:val="16"/>
                                  </w:rPr>
                                </w:pPr>
                                <w:r w:rsidRPr="007C33E8">
                                  <w:rPr>
                                    <w:rFonts w:ascii="Georgia" w:hAnsi="Georgia"/>
                                    <w:i/>
                                    <w:iCs/>
                                    <w:sz w:val="16"/>
                                    <w:szCs w:val="16"/>
                                  </w:rPr>
                                  <w:t xml:space="preserve">De Lumen Valdez Zamora &amp; Associates </w:t>
                                </w:r>
                              </w:p>
                              <w:p w14:paraId="4C5135BF" w14:textId="77777777" w:rsidR="003944BB" w:rsidRPr="007C33E8" w:rsidRDefault="003944BB" w:rsidP="00EE51BF">
                                <w:pPr>
                                  <w:rPr>
                                    <w:rFonts w:ascii="Georgia" w:hAnsi="Georgia"/>
                                    <w:sz w:val="16"/>
                                    <w:szCs w:val="16"/>
                                  </w:rPr>
                                </w:pPr>
                              </w:p>
                              <w:p w14:paraId="0B5C3C1E" w14:textId="77777777" w:rsidR="003944BB" w:rsidRPr="007C33E8" w:rsidRDefault="003944BB" w:rsidP="00EE51BF">
                                <w:pPr>
                                  <w:rPr>
                                    <w:rFonts w:ascii="Georgia" w:hAnsi="Georgia"/>
                                    <w:sz w:val="16"/>
                                    <w:szCs w:val="16"/>
                                  </w:rPr>
                                </w:pPr>
                                <w:r w:rsidRPr="007C33E8">
                                  <w:rPr>
                                    <w:rFonts w:ascii="Georgia" w:hAnsi="Georgia"/>
                                    <w:sz w:val="16"/>
                                    <w:szCs w:val="16"/>
                                  </w:rPr>
                                  <w:t xml:space="preserve">FULVIO DAVILAN </w:t>
                                </w:r>
                              </w:p>
                              <w:p w14:paraId="4621532D" w14:textId="77777777" w:rsidR="003944BB" w:rsidRPr="007C33E8" w:rsidRDefault="003944BB" w:rsidP="00EE51BF">
                                <w:pPr>
                                  <w:rPr>
                                    <w:rFonts w:ascii="Georgia" w:hAnsi="Georgia"/>
                                    <w:i/>
                                    <w:iCs/>
                                    <w:sz w:val="16"/>
                                    <w:szCs w:val="16"/>
                                  </w:rPr>
                                </w:pPr>
                                <w:r w:rsidRPr="007C33E8">
                                  <w:rPr>
                                    <w:rFonts w:ascii="Georgia" w:hAnsi="Georgia"/>
                                    <w:i/>
                                    <w:iCs/>
                                    <w:sz w:val="16"/>
                                    <w:szCs w:val="16"/>
                                  </w:rPr>
                                  <w:t xml:space="preserve">Du-Baladad and Associates </w:t>
                                </w:r>
                              </w:p>
                              <w:p w14:paraId="706FEEE7" w14:textId="77777777" w:rsidR="003944BB" w:rsidRPr="007C33E8" w:rsidRDefault="003944BB" w:rsidP="00EE51BF">
                                <w:pPr>
                                  <w:rPr>
                                    <w:rFonts w:ascii="Georgia" w:hAnsi="Georgia"/>
                                    <w:sz w:val="16"/>
                                    <w:szCs w:val="16"/>
                                  </w:rPr>
                                </w:pPr>
                              </w:p>
                              <w:p w14:paraId="055929D4" w14:textId="77777777" w:rsidR="003944BB" w:rsidRPr="007C33E8" w:rsidRDefault="003944BB" w:rsidP="00EE51BF">
                                <w:pPr>
                                  <w:rPr>
                                    <w:rFonts w:ascii="Georgia" w:hAnsi="Georgia"/>
                                    <w:sz w:val="16"/>
                                    <w:szCs w:val="16"/>
                                  </w:rPr>
                                </w:pPr>
                                <w:r w:rsidRPr="007C33E8">
                                  <w:rPr>
                                    <w:rFonts w:ascii="Georgia" w:hAnsi="Georgia"/>
                                    <w:sz w:val="16"/>
                                    <w:szCs w:val="16"/>
                                  </w:rPr>
                                  <w:t xml:space="preserve">ELEANOR L. ROQUE </w:t>
                                </w:r>
                              </w:p>
                              <w:p w14:paraId="31B0D8B2" w14:textId="77777777" w:rsidR="003944BB" w:rsidRPr="007C33E8" w:rsidRDefault="003944BB" w:rsidP="00EE51BF">
                                <w:pPr>
                                  <w:rPr>
                                    <w:rFonts w:ascii="Georgia" w:hAnsi="Georgia"/>
                                    <w:i/>
                                    <w:iCs/>
                                    <w:sz w:val="16"/>
                                    <w:szCs w:val="16"/>
                                  </w:rPr>
                                </w:pPr>
                                <w:r w:rsidRPr="007C33E8">
                                  <w:rPr>
                                    <w:rFonts w:ascii="Georgia" w:hAnsi="Georgia"/>
                                    <w:i/>
                                    <w:iCs/>
                                    <w:sz w:val="16"/>
                                    <w:szCs w:val="16"/>
                                  </w:rPr>
                                  <w:t xml:space="preserve">(Ex-officio) </w:t>
                                </w:r>
                              </w:p>
                              <w:p w14:paraId="10BCA143" w14:textId="48A65FAA" w:rsidR="003944BB" w:rsidRPr="007C33E8" w:rsidRDefault="003944BB" w:rsidP="00EE51BF">
                                <w:pPr>
                                  <w:rPr>
                                    <w:rFonts w:ascii="Georgia" w:hAnsi="Georgia"/>
                                    <w:i/>
                                    <w:iCs/>
                                    <w:sz w:val="16"/>
                                    <w:szCs w:val="16"/>
                                  </w:rPr>
                                </w:pPr>
                                <w:r w:rsidRPr="007C33E8">
                                  <w:rPr>
                                    <w:rFonts w:ascii="Georgia" w:hAnsi="Georgia"/>
                                    <w:i/>
                                    <w:iCs/>
                                    <w:sz w:val="16"/>
                                    <w:szCs w:val="16"/>
                                  </w:rPr>
                                  <w:t>Punongbayan &amp; Araullo</w:t>
                                </w:r>
                              </w:p>
                              <w:p w14:paraId="73F3E1FA" w14:textId="77777777" w:rsidR="003944BB" w:rsidRPr="008E0146" w:rsidRDefault="003944B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313945" id="_x0000_t202" coordsize="21600,21600" o:spt="202" path="m,l,21600r21600,l21600,xe">
                    <v:stroke joinstyle="miter"/>
                    <v:path gradientshapeok="t" o:connecttype="rect"/>
                  </v:shapetype>
                  <v:shape id="Text Box 3" o:spid="_x0000_s1026" type="#_x0000_t202" style="position:absolute;left:0;text-align:left;margin-left:-43.2pt;margin-top:87.95pt;width:128.9pt;height:59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" fillcolor="white [3201]" stroked="f" strokeweight="1pt">
                    <v:textbox>
                      <w:txbxContent>
                        <w:p w14:paraId="15A347F9" w14:textId="0386C1EE" w:rsidR="003944BB" w:rsidRPr="007C33E8" w:rsidRDefault="003944BB" w:rsidP="00EE51BF">
                          <w:pPr>
                            <w:rPr>
                              <w:rFonts w:ascii="Georgia" w:hAnsi="Georgia"/>
                              <w:sz w:val="16"/>
                              <w:szCs w:val="16"/>
                            </w:rPr>
                          </w:pPr>
                          <w:r w:rsidRPr="007C33E8">
                            <w:rPr>
                              <w:rFonts w:ascii="Georgia" w:hAnsi="Georgia"/>
                              <w:b/>
                              <w:bCs/>
                              <w:i/>
                              <w:iCs/>
                              <w:sz w:val="16"/>
                              <w:szCs w:val="16"/>
                            </w:rPr>
                            <w:t xml:space="preserve">OFFICERS </w:t>
                          </w:r>
                        </w:p>
                        <w:p w14:paraId="53957F0E" w14:textId="77777777" w:rsidR="009907CA" w:rsidRDefault="009907CA" w:rsidP="00EE51BF">
                          <w:pPr>
                            <w:rPr>
                              <w:rFonts w:ascii="Georgia" w:hAnsi="Georgia"/>
                              <w:sz w:val="16"/>
                              <w:szCs w:val="16"/>
                            </w:rPr>
                          </w:pPr>
                        </w:p>
                        <w:p w14:paraId="34B01B28" w14:textId="0667B4F3" w:rsidR="003944BB" w:rsidRPr="007C33E8" w:rsidRDefault="003944BB" w:rsidP="00EE51BF">
                          <w:pPr>
                            <w:rPr>
                              <w:rFonts w:ascii="Georgia" w:hAnsi="Georgia"/>
                              <w:sz w:val="16"/>
                              <w:szCs w:val="16"/>
                            </w:rPr>
                          </w:pPr>
                          <w:r w:rsidRPr="007C33E8">
                            <w:rPr>
                              <w:rFonts w:ascii="Georgia" w:hAnsi="Georgia"/>
                              <w:sz w:val="16"/>
                              <w:szCs w:val="16"/>
                            </w:rPr>
                            <w:t xml:space="preserve">ROMEO H. DURAN </w:t>
                          </w:r>
                        </w:p>
                        <w:p w14:paraId="4590A9AA" w14:textId="77777777" w:rsidR="003944BB" w:rsidRPr="007C33E8" w:rsidRDefault="003944BB" w:rsidP="00EE51BF">
                          <w:pPr>
                            <w:rPr>
                              <w:rFonts w:ascii="Georgia" w:hAnsi="Georgia"/>
                              <w:i/>
                              <w:iCs/>
                              <w:sz w:val="16"/>
                              <w:szCs w:val="16"/>
                            </w:rPr>
                          </w:pPr>
                          <w:r w:rsidRPr="007C33E8">
                            <w:rPr>
                              <w:rFonts w:ascii="Georgia" w:hAnsi="Georgia"/>
                              <w:i/>
                              <w:iCs/>
                              <w:sz w:val="16"/>
                              <w:szCs w:val="16"/>
                            </w:rPr>
                            <w:t xml:space="preserve">President </w:t>
                          </w:r>
                        </w:p>
                        <w:p w14:paraId="2B4B50CA" w14:textId="77777777" w:rsidR="003944BB" w:rsidRPr="007C33E8" w:rsidRDefault="003944BB" w:rsidP="00EE51BF">
                          <w:pPr>
                            <w:rPr>
                              <w:rFonts w:ascii="Georgia" w:hAnsi="Georgia"/>
                              <w:i/>
                              <w:iCs/>
                              <w:sz w:val="16"/>
                              <w:szCs w:val="16"/>
                            </w:rPr>
                          </w:pPr>
                          <w:r w:rsidRPr="007C33E8">
                            <w:rPr>
                              <w:rFonts w:ascii="Georgia" w:hAnsi="Georgia"/>
                              <w:i/>
                              <w:iCs/>
                              <w:sz w:val="16"/>
                              <w:szCs w:val="16"/>
                            </w:rPr>
                            <w:t xml:space="preserve">Sapalo Velez Bundang and Bulilan </w:t>
                          </w:r>
                        </w:p>
                        <w:p w14:paraId="265808BB" w14:textId="77777777" w:rsidR="003944BB" w:rsidRPr="007C33E8" w:rsidRDefault="003944BB" w:rsidP="00EE51BF">
                          <w:pPr>
                            <w:rPr>
                              <w:rFonts w:ascii="Georgia" w:hAnsi="Georgia"/>
                              <w:sz w:val="16"/>
                              <w:szCs w:val="16"/>
                            </w:rPr>
                          </w:pPr>
                        </w:p>
                        <w:p w14:paraId="6E034F1C" w14:textId="3FE2AD48" w:rsidR="003944BB" w:rsidRPr="007C33E8" w:rsidRDefault="003944BB" w:rsidP="00EE51BF">
                          <w:pPr>
                            <w:rPr>
                              <w:rFonts w:ascii="Georgia" w:hAnsi="Georgia"/>
                              <w:sz w:val="16"/>
                              <w:szCs w:val="16"/>
                            </w:rPr>
                          </w:pPr>
                          <w:r w:rsidRPr="007C33E8">
                            <w:rPr>
                              <w:rFonts w:ascii="Georgia" w:hAnsi="Georgia"/>
                              <w:sz w:val="16"/>
                              <w:szCs w:val="16"/>
                            </w:rPr>
                            <w:t xml:space="preserve">PRISCILLA B. VALER </w:t>
                          </w:r>
                        </w:p>
                        <w:p w14:paraId="3E793F3B" w14:textId="77777777" w:rsidR="003944BB" w:rsidRPr="007C33E8" w:rsidRDefault="003944BB" w:rsidP="00EE51BF">
                          <w:pPr>
                            <w:rPr>
                              <w:rFonts w:ascii="Georgia" w:hAnsi="Georgia"/>
                              <w:i/>
                              <w:iCs/>
                              <w:sz w:val="16"/>
                              <w:szCs w:val="16"/>
                            </w:rPr>
                          </w:pPr>
                          <w:r w:rsidRPr="007C33E8">
                            <w:rPr>
                              <w:rFonts w:ascii="Georgia" w:hAnsi="Georgia"/>
                              <w:i/>
                              <w:iCs/>
                              <w:sz w:val="16"/>
                              <w:szCs w:val="16"/>
                            </w:rPr>
                            <w:t xml:space="preserve">Internal Vice-President </w:t>
                          </w:r>
                        </w:p>
                        <w:p w14:paraId="38BB1838" w14:textId="77777777" w:rsidR="003944BB" w:rsidRPr="007C33E8" w:rsidRDefault="003944BB" w:rsidP="00EE51BF">
                          <w:pPr>
                            <w:rPr>
                              <w:rFonts w:ascii="Georgia" w:hAnsi="Georgia"/>
                              <w:i/>
                              <w:iCs/>
                              <w:sz w:val="16"/>
                              <w:szCs w:val="16"/>
                            </w:rPr>
                          </w:pPr>
                          <w:r w:rsidRPr="007C33E8">
                            <w:rPr>
                              <w:rFonts w:ascii="Georgia" w:hAnsi="Georgia"/>
                              <w:i/>
                              <w:iCs/>
                              <w:sz w:val="16"/>
                              <w:szCs w:val="16"/>
                            </w:rPr>
                            <w:t xml:space="preserve">Romulo Mabanta Buenaventura Sayoc &amp; Delos Angeles </w:t>
                          </w:r>
                        </w:p>
                        <w:p w14:paraId="2B91E6C6" w14:textId="77777777" w:rsidR="003944BB" w:rsidRPr="007C33E8" w:rsidRDefault="003944BB" w:rsidP="00EE51BF">
                          <w:pPr>
                            <w:rPr>
                              <w:rFonts w:ascii="Georgia" w:hAnsi="Georgia"/>
                              <w:sz w:val="16"/>
                              <w:szCs w:val="16"/>
                            </w:rPr>
                          </w:pPr>
                        </w:p>
                        <w:p w14:paraId="4F997F88" w14:textId="77777777" w:rsidR="003944BB" w:rsidRPr="007C33E8" w:rsidRDefault="003944BB" w:rsidP="00EE51BF">
                          <w:pPr>
                            <w:rPr>
                              <w:rFonts w:ascii="Georgia" w:hAnsi="Georgia"/>
                              <w:sz w:val="16"/>
                              <w:szCs w:val="16"/>
                            </w:rPr>
                          </w:pPr>
                          <w:r w:rsidRPr="007C33E8">
                            <w:rPr>
                              <w:rFonts w:ascii="Georgia" w:hAnsi="Georgia"/>
                              <w:sz w:val="16"/>
                              <w:szCs w:val="16"/>
                            </w:rPr>
                            <w:t xml:space="preserve">RICHARD V. LAPRES </w:t>
                          </w:r>
                        </w:p>
                        <w:p w14:paraId="788E646B" w14:textId="77777777" w:rsidR="003944BB" w:rsidRPr="007C33E8" w:rsidRDefault="003944BB" w:rsidP="00EE51BF">
                          <w:pPr>
                            <w:rPr>
                              <w:rFonts w:ascii="Georgia" w:hAnsi="Georgia"/>
                              <w:i/>
                              <w:iCs/>
                              <w:sz w:val="16"/>
                              <w:szCs w:val="16"/>
                            </w:rPr>
                          </w:pPr>
                          <w:r w:rsidRPr="007C33E8">
                            <w:rPr>
                              <w:rFonts w:ascii="Georgia" w:hAnsi="Georgia"/>
                              <w:i/>
                              <w:iCs/>
                              <w:sz w:val="16"/>
                              <w:szCs w:val="16"/>
                            </w:rPr>
                            <w:t xml:space="preserve">External Vice-President </w:t>
                          </w:r>
                        </w:p>
                        <w:p w14:paraId="24FD5165" w14:textId="77777777" w:rsidR="003944BB" w:rsidRPr="007C33E8" w:rsidRDefault="003944BB" w:rsidP="00EE51BF">
                          <w:pPr>
                            <w:rPr>
                              <w:rFonts w:ascii="Georgia" w:hAnsi="Georgia"/>
                              <w:sz w:val="16"/>
                              <w:szCs w:val="16"/>
                            </w:rPr>
                          </w:pPr>
                          <w:r w:rsidRPr="007C33E8">
                            <w:rPr>
                              <w:rFonts w:ascii="Georgia" w:hAnsi="Georgia"/>
                              <w:i/>
                              <w:iCs/>
                              <w:sz w:val="16"/>
                              <w:szCs w:val="16"/>
                            </w:rPr>
                            <w:t>Navarro Amper &amp; Co. M</w:t>
                          </w:r>
                          <w:r w:rsidRPr="007C33E8">
                            <w:rPr>
                              <w:rFonts w:ascii="Georgia" w:hAnsi="Georgia"/>
                              <w:sz w:val="16"/>
                              <w:szCs w:val="16"/>
                            </w:rPr>
                            <w:t xml:space="preserve">A </w:t>
                          </w:r>
                        </w:p>
                        <w:p w14:paraId="19B0403A" w14:textId="77777777" w:rsidR="003944BB" w:rsidRPr="007C33E8" w:rsidRDefault="003944BB" w:rsidP="00EE51BF">
                          <w:pPr>
                            <w:rPr>
                              <w:rFonts w:ascii="Georgia" w:hAnsi="Georgia"/>
                              <w:sz w:val="16"/>
                              <w:szCs w:val="16"/>
                            </w:rPr>
                          </w:pPr>
                        </w:p>
                        <w:p w14:paraId="09429EF2" w14:textId="77777777" w:rsidR="003944BB" w:rsidRPr="007C33E8" w:rsidRDefault="003944BB" w:rsidP="00EE51BF">
                          <w:pPr>
                            <w:rPr>
                              <w:rFonts w:ascii="Georgia" w:hAnsi="Georgia"/>
                              <w:sz w:val="16"/>
                              <w:szCs w:val="16"/>
                            </w:rPr>
                          </w:pPr>
                          <w:r w:rsidRPr="007C33E8">
                            <w:rPr>
                              <w:rFonts w:ascii="Georgia" w:hAnsi="Georgia"/>
                              <w:sz w:val="16"/>
                              <w:szCs w:val="16"/>
                            </w:rPr>
                            <w:t xml:space="preserve">VICTORIA D. SARMIENTO </w:t>
                          </w:r>
                        </w:p>
                        <w:p w14:paraId="2DB9CE7C" w14:textId="5EBCBA44" w:rsidR="003944BB" w:rsidRPr="007C33E8" w:rsidRDefault="003944BB" w:rsidP="00EE51BF">
                          <w:pPr>
                            <w:rPr>
                              <w:rFonts w:ascii="Georgia" w:hAnsi="Georgia"/>
                              <w:i/>
                              <w:iCs/>
                              <w:sz w:val="16"/>
                              <w:szCs w:val="16"/>
                            </w:rPr>
                          </w:pPr>
                          <w:r w:rsidRPr="007C33E8">
                            <w:rPr>
                              <w:rFonts w:ascii="Georgia" w:hAnsi="Georgia"/>
                              <w:i/>
                              <w:iCs/>
                              <w:sz w:val="16"/>
                              <w:szCs w:val="16"/>
                            </w:rPr>
                            <w:t xml:space="preserve">Secretary </w:t>
                          </w:r>
                        </w:p>
                        <w:p w14:paraId="628B10CE" w14:textId="6875F9A1" w:rsidR="003944BB" w:rsidRPr="007C33E8" w:rsidRDefault="003944BB" w:rsidP="00EE51BF">
                          <w:pPr>
                            <w:rPr>
                              <w:rFonts w:ascii="Georgia" w:hAnsi="Georgia"/>
                              <w:i/>
                              <w:iCs/>
                              <w:sz w:val="16"/>
                              <w:szCs w:val="16"/>
                            </w:rPr>
                          </w:pPr>
                          <w:r w:rsidRPr="007C33E8">
                            <w:rPr>
                              <w:rFonts w:ascii="Georgia" w:hAnsi="Georgia"/>
                              <w:i/>
                              <w:iCs/>
                              <w:sz w:val="16"/>
                              <w:szCs w:val="16"/>
                            </w:rPr>
                            <w:t xml:space="preserve">Castillo Laman </w:t>
                          </w:r>
                        </w:p>
                        <w:p w14:paraId="10F694F2" w14:textId="77777777" w:rsidR="003944BB" w:rsidRPr="007C33E8" w:rsidRDefault="003944BB" w:rsidP="00EE51BF">
                          <w:pPr>
                            <w:rPr>
                              <w:rFonts w:ascii="Georgia" w:hAnsi="Georgia"/>
                              <w:sz w:val="16"/>
                              <w:szCs w:val="16"/>
                            </w:rPr>
                          </w:pPr>
                        </w:p>
                        <w:p w14:paraId="75434A21" w14:textId="77777777" w:rsidR="003944BB" w:rsidRPr="007C33E8" w:rsidRDefault="003944BB" w:rsidP="00EE51BF">
                          <w:pPr>
                            <w:rPr>
                              <w:rFonts w:ascii="Georgia" w:hAnsi="Georgia"/>
                              <w:sz w:val="16"/>
                              <w:szCs w:val="16"/>
                            </w:rPr>
                          </w:pPr>
                          <w:r w:rsidRPr="007C33E8">
                            <w:rPr>
                              <w:rFonts w:ascii="Georgia" w:hAnsi="Georgia"/>
                              <w:sz w:val="16"/>
                              <w:szCs w:val="16"/>
                            </w:rPr>
                            <w:t xml:space="preserve">KRISTINE CHARISSE SIAO </w:t>
                          </w:r>
                          <w:r w:rsidRPr="007C33E8">
                            <w:rPr>
                              <w:rFonts w:ascii="Georgia" w:hAnsi="Georgia"/>
                              <w:i/>
                              <w:iCs/>
                              <w:sz w:val="16"/>
                              <w:szCs w:val="16"/>
                            </w:rPr>
                            <w:t xml:space="preserve">Treasurer </w:t>
                          </w:r>
                        </w:p>
                        <w:p w14:paraId="0D97E92C" w14:textId="77777777" w:rsidR="003944BB" w:rsidRPr="007C33E8" w:rsidRDefault="003944BB" w:rsidP="00EE51BF">
                          <w:pPr>
                            <w:rPr>
                              <w:rFonts w:ascii="Georgia" w:hAnsi="Georgia"/>
                              <w:i/>
                              <w:iCs/>
                              <w:sz w:val="16"/>
                              <w:szCs w:val="16"/>
                            </w:rPr>
                          </w:pPr>
                          <w:r w:rsidRPr="007C33E8">
                            <w:rPr>
                              <w:rFonts w:ascii="Georgia" w:hAnsi="Georgia"/>
                              <w:i/>
                              <w:iCs/>
                              <w:sz w:val="16"/>
                              <w:szCs w:val="16"/>
                            </w:rPr>
                            <w:t xml:space="preserve">Villaraza Angangco </w:t>
                          </w:r>
                        </w:p>
                        <w:p w14:paraId="79E3C125" w14:textId="77777777" w:rsidR="003944BB" w:rsidRPr="007C33E8" w:rsidRDefault="003944BB" w:rsidP="00EE51BF">
                          <w:pPr>
                            <w:rPr>
                              <w:rFonts w:ascii="Georgia" w:hAnsi="Georgia"/>
                              <w:sz w:val="16"/>
                              <w:szCs w:val="16"/>
                            </w:rPr>
                          </w:pPr>
                        </w:p>
                        <w:p w14:paraId="67E9927B" w14:textId="77777777" w:rsidR="003944BB" w:rsidRPr="007C33E8" w:rsidRDefault="003944BB" w:rsidP="00EE51BF">
                          <w:pPr>
                            <w:rPr>
                              <w:rFonts w:ascii="Georgia" w:hAnsi="Georgia"/>
                              <w:sz w:val="16"/>
                              <w:szCs w:val="16"/>
                            </w:rPr>
                          </w:pPr>
                          <w:r w:rsidRPr="007C33E8">
                            <w:rPr>
                              <w:rFonts w:ascii="Georgia" w:hAnsi="Georgia"/>
                              <w:sz w:val="16"/>
                              <w:szCs w:val="16"/>
                            </w:rPr>
                            <w:t xml:space="preserve">ESTER R. PUNONGBAYAN </w:t>
                          </w:r>
                          <w:r w:rsidRPr="007C33E8">
                            <w:rPr>
                              <w:rFonts w:ascii="Georgia" w:hAnsi="Georgia"/>
                              <w:i/>
                              <w:iCs/>
                              <w:sz w:val="16"/>
                              <w:szCs w:val="16"/>
                            </w:rPr>
                            <w:t>Auditor</w:t>
                          </w:r>
                        </w:p>
                        <w:p w14:paraId="130D65CE" w14:textId="747ACAFB" w:rsidR="003944BB" w:rsidRPr="007C33E8" w:rsidRDefault="003944BB" w:rsidP="00EE51BF">
                          <w:pPr>
                            <w:rPr>
                              <w:rFonts w:ascii="Georgia" w:hAnsi="Georgia"/>
                              <w:sz w:val="16"/>
                              <w:szCs w:val="16"/>
                            </w:rPr>
                          </w:pPr>
                          <w:r w:rsidRPr="007C33E8">
                            <w:rPr>
                              <w:rFonts w:ascii="Georgia" w:hAnsi="Georgia"/>
                              <w:sz w:val="16"/>
                              <w:szCs w:val="16"/>
                            </w:rPr>
                            <w:t>E</w:t>
                          </w:r>
                          <w:r w:rsidRPr="007C33E8">
                            <w:rPr>
                              <w:rFonts w:ascii="Georgia" w:hAnsi="Georgia"/>
                              <w:i/>
                              <w:iCs/>
                              <w:sz w:val="16"/>
                              <w:szCs w:val="16"/>
                            </w:rPr>
                            <w:t>. Punongbayan Global Outsourcing, Inc.</w:t>
                          </w:r>
                          <w:r w:rsidRPr="007C33E8">
                            <w:rPr>
                              <w:rFonts w:ascii="Georgia" w:hAnsi="Georgia"/>
                              <w:sz w:val="16"/>
                              <w:szCs w:val="16"/>
                            </w:rPr>
                            <w:t xml:space="preserve"> </w:t>
                          </w:r>
                        </w:p>
                        <w:p w14:paraId="29659AEE" w14:textId="77777777" w:rsidR="003944BB" w:rsidRPr="007C33E8" w:rsidRDefault="003944BB" w:rsidP="00EE51BF">
                          <w:pPr>
                            <w:rPr>
                              <w:rFonts w:ascii="Georgia" w:hAnsi="Georgia"/>
                              <w:sz w:val="16"/>
                              <w:szCs w:val="16"/>
                            </w:rPr>
                          </w:pPr>
                        </w:p>
                        <w:p w14:paraId="1583BF48" w14:textId="77777777" w:rsidR="003944BB" w:rsidRPr="007C33E8" w:rsidRDefault="003944BB" w:rsidP="00EE51BF">
                          <w:pPr>
                            <w:rPr>
                              <w:rFonts w:ascii="Georgia" w:hAnsi="Georgia"/>
                              <w:b/>
                              <w:bCs/>
                              <w:i/>
                              <w:iCs/>
                              <w:sz w:val="16"/>
                              <w:szCs w:val="16"/>
                            </w:rPr>
                          </w:pPr>
                          <w:r w:rsidRPr="007C33E8">
                            <w:rPr>
                              <w:rFonts w:ascii="Georgia" w:hAnsi="Georgia"/>
                              <w:b/>
                              <w:bCs/>
                              <w:i/>
                              <w:iCs/>
                              <w:sz w:val="16"/>
                              <w:szCs w:val="16"/>
                            </w:rPr>
                            <w:t xml:space="preserve">DIRECTORS </w:t>
                          </w:r>
                        </w:p>
                        <w:p w14:paraId="1A1C881A" w14:textId="77777777" w:rsidR="003944BB" w:rsidRPr="007C33E8" w:rsidRDefault="003944BB" w:rsidP="00EE51BF">
                          <w:pPr>
                            <w:rPr>
                              <w:rFonts w:ascii="Georgia" w:hAnsi="Georgia"/>
                              <w:sz w:val="16"/>
                              <w:szCs w:val="16"/>
                            </w:rPr>
                          </w:pPr>
                        </w:p>
                        <w:p w14:paraId="7195D862" w14:textId="77777777" w:rsidR="003944BB" w:rsidRPr="007C33E8" w:rsidRDefault="003944BB" w:rsidP="00EE51BF">
                          <w:pPr>
                            <w:rPr>
                              <w:rFonts w:ascii="Georgia" w:hAnsi="Georgia"/>
                              <w:sz w:val="16"/>
                              <w:szCs w:val="16"/>
                            </w:rPr>
                          </w:pPr>
                          <w:r w:rsidRPr="007C33E8">
                            <w:rPr>
                              <w:rFonts w:ascii="Georgia" w:hAnsi="Georgia"/>
                              <w:sz w:val="16"/>
                              <w:szCs w:val="16"/>
                            </w:rPr>
                            <w:t xml:space="preserve">JEWEL M. BAGA </w:t>
                          </w:r>
                        </w:p>
                        <w:p w14:paraId="068F6461" w14:textId="77777777" w:rsidR="003944BB" w:rsidRPr="007C33E8" w:rsidRDefault="003944BB" w:rsidP="00EE51BF">
                          <w:pPr>
                            <w:rPr>
                              <w:rFonts w:ascii="Georgia" w:hAnsi="Georgia"/>
                              <w:i/>
                              <w:iCs/>
                              <w:sz w:val="16"/>
                              <w:szCs w:val="16"/>
                            </w:rPr>
                          </w:pPr>
                          <w:r w:rsidRPr="007C33E8">
                            <w:rPr>
                              <w:rFonts w:ascii="Georgia" w:hAnsi="Georgia"/>
                              <w:i/>
                              <w:iCs/>
                              <w:sz w:val="16"/>
                              <w:szCs w:val="16"/>
                            </w:rPr>
                            <w:t xml:space="preserve">Baga and Associates </w:t>
                          </w:r>
                        </w:p>
                        <w:p w14:paraId="21190EBA" w14:textId="77777777" w:rsidR="003944BB" w:rsidRPr="007C33E8" w:rsidRDefault="003944BB" w:rsidP="00EE51BF">
                          <w:pPr>
                            <w:rPr>
                              <w:rFonts w:ascii="Georgia" w:hAnsi="Georgia"/>
                              <w:sz w:val="16"/>
                              <w:szCs w:val="16"/>
                            </w:rPr>
                          </w:pPr>
                        </w:p>
                        <w:p w14:paraId="71B62872" w14:textId="77777777" w:rsidR="003944BB" w:rsidRPr="007C33E8" w:rsidRDefault="003944BB" w:rsidP="00EE51BF">
                          <w:pPr>
                            <w:rPr>
                              <w:rFonts w:ascii="Georgia" w:hAnsi="Georgia"/>
                              <w:sz w:val="16"/>
                              <w:szCs w:val="16"/>
                            </w:rPr>
                          </w:pPr>
                          <w:r w:rsidRPr="007C33E8">
                            <w:rPr>
                              <w:rFonts w:ascii="Georgia" w:hAnsi="Georgia"/>
                              <w:sz w:val="16"/>
                              <w:szCs w:val="16"/>
                            </w:rPr>
                            <w:t xml:space="preserve">CYNTHIA L. DELA PAZ </w:t>
                          </w:r>
                        </w:p>
                        <w:p w14:paraId="22675D63" w14:textId="77777777" w:rsidR="003944BB" w:rsidRPr="007C33E8" w:rsidRDefault="003944BB" w:rsidP="00EE51BF">
                          <w:pPr>
                            <w:rPr>
                              <w:rFonts w:ascii="Georgia" w:hAnsi="Georgia"/>
                              <w:i/>
                              <w:iCs/>
                              <w:sz w:val="16"/>
                              <w:szCs w:val="16"/>
                            </w:rPr>
                          </w:pPr>
                          <w:r w:rsidRPr="007C33E8">
                            <w:rPr>
                              <w:rFonts w:ascii="Georgia" w:hAnsi="Georgia"/>
                              <w:i/>
                              <w:iCs/>
                              <w:sz w:val="16"/>
                              <w:szCs w:val="16"/>
                            </w:rPr>
                            <w:t xml:space="preserve">Picazo Buyco Tan Fider &amp; Santos </w:t>
                          </w:r>
                        </w:p>
                        <w:p w14:paraId="41877C3D" w14:textId="77777777" w:rsidR="003944BB" w:rsidRPr="007C33E8" w:rsidRDefault="003944BB" w:rsidP="00EE51BF">
                          <w:pPr>
                            <w:rPr>
                              <w:rFonts w:ascii="Georgia" w:hAnsi="Georgia"/>
                              <w:sz w:val="16"/>
                              <w:szCs w:val="16"/>
                            </w:rPr>
                          </w:pPr>
                        </w:p>
                        <w:p w14:paraId="52112298" w14:textId="77777777" w:rsidR="003944BB" w:rsidRPr="007C33E8" w:rsidRDefault="003944BB" w:rsidP="00EE51BF">
                          <w:pPr>
                            <w:rPr>
                              <w:rFonts w:ascii="Georgia" w:hAnsi="Georgia"/>
                              <w:i/>
                              <w:iCs/>
                              <w:sz w:val="16"/>
                              <w:szCs w:val="16"/>
                            </w:rPr>
                          </w:pPr>
                          <w:r w:rsidRPr="007C33E8">
                            <w:rPr>
                              <w:rFonts w:ascii="Georgia" w:hAnsi="Georgia"/>
                              <w:sz w:val="16"/>
                              <w:szCs w:val="16"/>
                            </w:rPr>
                            <w:t xml:space="preserve">GAY CHRISTINE C. LOPEZ </w:t>
                          </w:r>
                          <w:r w:rsidRPr="007C33E8">
                            <w:rPr>
                              <w:rFonts w:ascii="Georgia" w:hAnsi="Georgia"/>
                              <w:i/>
                              <w:iCs/>
                              <w:sz w:val="16"/>
                              <w:szCs w:val="16"/>
                            </w:rPr>
                            <w:t xml:space="preserve">Buñag &amp; Associates </w:t>
                          </w:r>
                        </w:p>
                        <w:p w14:paraId="33C20824" w14:textId="77777777" w:rsidR="003944BB" w:rsidRPr="007C33E8" w:rsidRDefault="003944BB" w:rsidP="00EE51BF">
                          <w:pPr>
                            <w:rPr>
                              <w:rFonts w:ascii="Georgia" w:hAnsi="Georgia"/>
                              <w:i/>
                              <w:iCs/>
                              <w:sz w:val="16"/>
                              <w:szCs w:val="16"/>
                            </w:rPr>
                          </w:pPr>
                        </w:p>
                        <w:p w14:paraId="3F782611" w14:textId="77777777" w:rsidR="003944BB" w:rsidRPr="007C33E8" w:rsidRDefault="003944BB" w:rsidP="00EE51BF">
                          <w:pPr>
                            <w:rPr>
                              <w:rFonts w:ascii="Georgia" w:hAnsi="Georgia"/>
                              <w:sz w:val="16"/>
                              <w:szCs w:val="16"/>
                            </w:rPr>
                          </w:pPr>
                          <w:r w:rsidRPr="007C33E8">
                            <w:rPr>
                              <w:rFonts w:ascii="Georgia" w:hAnsi="Georgia"/>
                              <w:i/>
                              <w:iCs/>
                              <w:sz w:val="16"/>
                              <w:szCs w:val="16"/>
                            </w:rPr>
                            <w:t>MARIA</w:t>
                          </w:r>
                          <w:r w:rsidRPr="007C33E8">
                            <w:rPr>
                              <w:rFonts w:ascii="Georgia" w:hAnsi="Georgia"/>
                              <w:sz w:val="16"/>
                              <w:szCs w:val="16"/>
                            </w:rPr>
                            <w:t xml:space="preserve"> NORA N. MANALO </w:t>
                          </w:r>
                        </w:p>
                        <w:p w14:paraId="1BD71302" w14:textId="77777777" w:rsidR="003944BB" w:rsidRPr="007C33E8" w:rsidRDefault="003944BB" w:rsidP="00EE51BF">
                          <w:pPr>
                            <w:rPr>
                              <w:rFonts w:ascii="Georgia" w:hAnsi="Georgia"/>
                              <w:sz w:val="16"/>
                              <w:szCs w:val="16"/>
                            </w:rPr>
                          </w:pPr>
                        </w:p>
                        <w:p w14:paraId="7A3DFCDF" w14:textId="7F5931C3" w:rsidR="003944BB" w:rsidRPr="007C33E8" w:rsidRDefault="003944BB" w:rsidP="00EE51BF">
                          <w:pPr>
                            <w:rPr>
                              <w:rFonts w:ascii="Georgia" w:hAnsi="Georgia"/>
                              <w:sz w:val="16"/>
                              <w:szCs w:val="16"/>
                            </w:rPr>
                          </w:pPr>
                          <w:r w:rsidRPr="007C33E8">
                            <w:rPr>
                              <w:rFonts w:ascii="Georgia" w:hAnsi="Georgia"/>
                              <w:sz w:val="16"/>
                              <w:szCs w:val="16"/>
                            </w:rPr>
                            <w:t xml:space="preserve">SUZETTE A. CELICIOUS-SY </w:t>
                          </w:r>
                        </w:p>
                        <w:p w14:paraId="21BB7D05" w14:textId="77777777" w:rsidR="003944BB" w:rsidRPr="007C33E8" w:rsidRDefault="003944BB" w:rsidP="00EE51BF">
                          <w:pPr>
                            <w:rPr>
                              <w:rFonts w:ascii="Georgia" w:hAnsi="Georgia"/>
                              <w:i/>
                              <w:iCs/>
                              <w:sz w:val="16"/>
                              <w:szCs w:val="16"/>
                            </w:rPr>
                          </w:pPr>
                          <w:r w:rsidRPr="007C33E8">
                            <w:rPr>
                              <w:rFonts w:ascii="Georgia" w:hAnsi="Georgia"/>
                              <w:i/>
                              <w:iCs/>
                              <w:sz w:val="16"/>
                              <w:szCs w:val="16"/>
                            </w:rPr>
                            <w:t xml:space="preserve">Baniqued Layug &amp; Bello </w:t>
                          </w:r>
                        </w:p>
                        <w:p w14:paraId="1D0BA710" w14:textId="77777777" w:rsidR="003944BB" w:rsidRPr="007C33E8" w:rsidRDefault="003944BB" w:rsidP="00EE51BF">
                          <w:pPr>
                            <w:rPr>
                              <w:rFonts w:ascii="Georgia" w:hAnsi="Georgia"/>
                              <w:sz w:val="16"/>
                              <w:szCs w:val="16"/>
                            </w:rPr>
                          </w:pPr>
                        </w:p>
                        <w:p w14:paraId="334862AB" w14:textId="77777777" w:rsidR="003944BB" w:rsidRPr="007C33E8" w:rsidRDefault="003944BB" w:rsidP="00EE51BF">
                          <w:pPr>
                            <w:rPr>
                              <w:rFonts w:ascii="Georgia" w:hAnsi="Georgia"/>
                              <w:sz w:val="16"/>
                              <w:szCs w:val="16"/>
                            </w:rPr>
                          </w:pPr>
                          <w:r w:rsidRPr="007C33E8">
                            <w:rPr>
                              <w:rFonts w:ascii="Georgia" w:hAnsi="Georgia"/>
                              <w:sz w:val="16"/>
                              <w:szCs w:val="16"/>
                            </w:rPr>
                            <w:t xml:space="preserve">KRISTEL VIRTUDEZ </w:t>
                          </w:r>
                        </w:p>
                        <w:p w14:paraId="2E39C260" w14:textId="12E3412F" w:rsidR="003944BB" w:rsidRPr="007C33E8" w:rsidRDefault="003944BB" w:rsidP="00EE51BF">
                          <w:pPr>
                            <w:rPr>
                              <w:rFonts w:ascii="Georgia" w:hAnsi="Georgia"/>
                              <w:i/>
                              <w:iCs/>
                              <w:sz w:val="16"/>
                              <w:szCs w:val="16"/>
                            </w:rPr>
                          </w:pPr>
                          <w:r w:rsidRPr="007C33E8">
                            <w:rPr>
                              <w:rFonts w:ascii="Georgia" w:hAnsi="Georgia"/>
                              <w:i/>
                              <w:iCs/>
                              <w:sz w:val="16"/>
                              <w:szCs w:val="16"/>
                            </w:rPr>
                            <w:t xml:space="preserve">Sunlife </w:t>
                          </w:r>
                        </w:p>
                        <w:p w14:paraId="2B82C7EC" w14:textId="77777777" w:rsidR="003944BB" w:rsidRPr="007C33E8" w:rsidRDefault="003944BB" w:rsidP="00EE51BF">
                          <w:pPr>
                            <w:rPr>
                              <w:rFonts w:ascii="Georgia" w:hAnsi="Georgia"/>
                              <w:sz w:val="16"/>
                              <w:szCs w:val="16"/>
                            </w:rPr>
                          </w:pPr>
                        </w:p>
                        <w:p w14:paraId="53CC5C69" w14:textId="77777777" w:rsidR="003944BB" w:rsidRPr="007C33E8" w:rsidRDefault="003944BB" w:rsidP="00EE51BF">
                          <w:pPr>
                            <w:rPr>
                              <w:rFonts w:ascii="Georgia" w:hAnsi="Georgia"/>
                              <w:sz w:val="16"/>
                              <w:szCs w:val="16"/>
                            </w:rPr>
                          </w:pPr>
                          <w:r w:rsidRPr="007C33E8">
                            <w:rPr>
                              <w:rFonts w:ascii="Georgia" w:hAnsi="Georgia"/>
                              <w:sz w:val="16"/>
                              <w:szCs w:val="16"/>
                            </w:rPr>
                            <w:t xml:space="preserve">LEAH SALCEDO </w:t>
                          </w:r>
                        </w:p>
                        <w:p w14:paraId="2FE8F999" w14:textId="6AF4FE4A" w:rsidR="003944BB" w:rsidRPr="007C33E8" w:rsidRDefault="003944BB" w:rsidP="00C80CA9">
                          <w:pPr>
                            <w:rPr>
                              <w:rFonts w:ascii="Georgia" w:hAnsi="Georgia"/>
                              <w:i/>
                              <w:iCs/>
                              <w:sz w:val="16"/>
                              <w:szCs w:val="16"/>
                            </w:rPr>
                          </w:pPr>
                          <w:r w:rsidRPr="007C33E8">
                            <w:rPr>
                              <w:rFonts w:ascii="Georgia" w:hAnsi="Georgia"/>
                              <w:i/>
                              <w:iCs/>
                              <w:sz w:val="16"/>
                              <w:szCs w:val="16"/>
                            </w:rPr>
                            <w:t xml:space="preserve">Development Bank of the Philippines </w:t>
                          </w:r>
                        </w:p>
                        <w:p w14:paraId="27E03584" w14:textId="77777777" w:rsidR="003944BB" w:rsidRPr="007C33E8" w:rsidRDefault="003944BB" w:rsidP="00EE51BF">
                          <w:pPr>
                            <w:rPr>
                              <w:rFonts w:ascii="Georgia" w:hAnsi="Georgia"/>
                              <w:sz w:val="16"/>
                              <w:szCs w:val="16"/>
                            </w:rPr>
                          </w:pPr>
                        </w:p>
                        <w:p w14:paraId="2D786A0B" w14:textId="77777777" w:rsidR="003944BB" w:rsidRPr="007C33E8" w:rsidRDefault="003944BB" w:rsidP="00EE51BF">
                          <w:pPr>
                            <w:rPr>
                              <w:rFonts w:ascii="Georgia" w:hAnsi="Georgia"/>
                              <w:sz w:val="16"/>
                              <w:szCs w:val="16"/>
                            </w:rPr>
                          </w:pPr>
                          <w:r w:rsidRPr="007C33E8">
                            <w:rPr>
                              <w:rFonts w:ascii="Georgia" w:hAnsi="Georgia"/>
                              <w:sz w:val="16"/>
                              <w:szCs w:val="16"/>
                            </w:rPr>
                            <w:t xml:space="preserve">SHERRY OBILES-BAURA </w:t>
                          </w:r>
                        </w:p>
                        <w:p w14:paraId="02F8E7E0" w14:textId="77777777" w:rsidR="003944BB" w:rsidRPr="007C33E8" w:rsidRDefault="003944BB" w:rsidP="00EE51BF">
                          <w:pPr>
                            <w:rPr>
                              <w:rFonts w:ascii="Georgia" w:hAnsi="Georgia"/>
                              <w:i/>
                              <w:iCs/>
                              <w:sz w:val="16"/>
                              <w:szCs w:val="16"/>
                            </w:rPr>
                          </w:pPr>
                          <w:r w:rsidRPr="007C33E8">
                            <w:rPr>
                              <w:rFonts w:ascii="Georgia" w:hAnsi="Georgia"/>
                              <w:i/>
                              <w:iCs/>
                              <w:sz w:val="16"/>
                              <w:szCs w:val="16"/>
                            </w:rPr>
                            <w:t xml:space="preserve">De Lumen Valdez Zamora &amp; Associates </w:t>
                          </w:r>
                        </w:p>
                        <w:p w14:paraId="4C5135BF" w14:textId="77777777" w:rsidR="003944BB" w:rsidRPr="007C33E8" w:rsidRDefault="003944BB" w:rsidP="00EE51BF">
                          <w:pPr>
                            <w:rPr>
                              <w:rFonts w:ascii="Georgia" w:hAnsi="Georgia"/>
                              <w:sz w:val="16"/>
                              <w:szCs w:val="16"/>
                            </w:rPr>
                          </w:pPr>
                        </w:p>
                        <w:p w14:paraId="0B5C3C1E" w14:textId="77777777" w:rsidR="003944BB" w:rsidRPr="007C33E8" w:rsidRDefault="003944BB" w:rsidP="00EE51BF">
                          <w:pPr>
                            <w:rPr>
                              <w:rFonts w:ascii="Georgia" w:hAnsi="Georgia"/>
                              <w:sz w:val="16"/>
                              <w:szCs w:val="16"/>
                            </w:rPr>
                          </w:pPr>
                          <w:r w:rsidRPr="007C33E8">
                            <w:rPr>
                              <w:rFonts w:ascii="Georgia" w:hAnsi="Georgia"/>
                              <w:sz w:val="16"/>
                              <w:szCs w:val="16"/>
                            </w:rPr>
                            <w:t xml:space="preserve">FULVIO DAVILAN </w:t>
                          </w:r>
                        </w:p>
                        <w:p w14:paraId="4621532D" w14:textId="77777777" w:rsidR="003944BB" w:rsidRPr="007C33E8" w:rsidRDefault="003944BB" w:rsidP="00EE51BF">
                          <w:pPr>
                            <w:rPr>
                              <w:rFonts w:ascii="Georgia" w:hAnsi="Georgia"/>
                              <w:i/>
                              <w:iCs/>
                              <w:sz w:val="16"/>
                              <w:szCs w:val="16"/>
                            </w:rPr>
                          </w:pPr>
                          <w:r w:rsidRPr="007C33E8">
                            <w:rPr>
                              <w:rFonts w:ascii="Georgia" w:hAnsi="Georgia"/>
                              <w:i/>
                              <w:iCs/>
                              <w:sz w:val="16"/>
                              <w:szCs w:val="16"/>
                            </w:rPr>
                            <w:t xml:space="preserve">Du-Baladad and Associates </w:t>
                          </w:r>
                        </w:p>
                        <w:p w14:paraId="706FEEE7" w14:textId="77777777" w:rsidR="003944BB" w:rsidRPr="007C33E8" w:rsidRDefault="003944BB" w:rsidP="00EE51BF">
                          <w:pPr>
                            <w:rPr>
                              <w:rFonts w:ascii="Georgia" w:hAnsi="Georgia"/>
                              <w:sz w:val="16"/>
                              <w:szCs w:val="16"/>
                            </w:rPr>
                          </w:pPr>
                        </w:p>
                        <w:p w14:paraId="055929D4" w14:textId="77777777" w:rsidR="003944BB" w:rsidRPr="007C33E8" w:rsidRDefault="003944BB" w:rsidP="00EE51BF">
                          <w:pPr>
                            <w:rPr>
                              <w:rFonts w:ascii="Georgia" w:hAnsi="Georgia"/>
                              <w:sz w:val="16"/>
                              <w:szCs w:val="16"/>
                            </w:rPr>
                          </w:pPr>
                          <w:r w:rsidRPr="007C33E8">
                            <w:rPr>
                              <w:rFonts w:ascii="Georgia" w:hAnsi="Georgia"/>
                              <w:sz w:val="16"/>
                              <w:szCs w:val="16"/>
                            </w:rPr>
                            <w:t xml:space="preserve">ELEANOR L. ROQUE </w:t>
                          </w:r>
                        </w:p>
                        <w:p w14:paraId="31B0D8B2" w14:textId="77777777" w:rsidR="003944BB" w:rsidRPr="007C33E8" w:rsidRDefault="003944BB" w:rsidP="00EE51BF">
                          <w:pPr>
                            <w:rPr>
                              <w:rFonts w:ascii="Georgia" w:hAnsi="Georgia"/>
                              <w:i/>
                              <w:iCs/>
                              <w:sz w:val="16"/>
                              <w:szCs w:val="16"/>
                            </w:rPr>
                          </w:pPr>
                          <w:r w:rsidRPr="007C33E8">
                            <w:rPr>
                              <w:rFonts w:ascii="Georgia" w:hAnsi="Georgia"/>
                              <w:i/>
                              <w:iCs/>
                              <w:sz w:val="16"/>
                              <w:szCs w:val="16"/>
                            </w:rPr>
                            <w:t xml:space="preserve">(Ex-officio) </w:t>
                          </w:r>
                        </w:p>
                        <w:p w14:paraId="10BCA143" w14:textId="48A65FAA" w:rsidR="003944BB" w:rsidRPr="007C33E8" w:rsidRDefault="003944BB" w:rsidP="00EE51BF">
                          <w:pPr>
                            <w:rPr>
                              <w:rFonts w:ascii="Georgia" w:hAnsi="Georgia"/>
                              <w:i/>
                              <w:iCs/>
                              <w:sz w:val="16"/>
                              <w:szCs w:val="16"/>
                            </w:rPr>
                          </w:pPr>
                          <w:r w:rsidRPr="007C33E8">
                            <w:rPr>
                              <w:rFonts w:ascii="Georgia" w:hAnsi="Georgia"/>
                              <w:i/>
                              <w:iCs/>
                              <w:sz w:val="16"/>
                              <w:szCs w:val="16"/>
                            </w:rPr>
                            <w:t>Punongbayan &amp; Araullo</w:t>
                          </w:r>
                        </w:p>
                        <w:p w14:paraId="73F3E1FA" w14:textId="77777777" w:rsidR="003944BB" w:rsidRPr="008E0146" w:rsidRDefault="003944BB">
                          <w:pPr>
                            <w:rPr>
                              <w:sz w:val="16"/>
                              <w:szCs w:val="16"/>
                            </w:rPr>
                          </w:pPr>
                        </w:p>
                      </w:txbxContent>
                    </v:textbox>
                  </v:shape>
                </w:pict>
              </mc:Fallback>
            </mc:AlternateContent>
          </w:r>
          <w:r w:rsidR="00831F6A" w:rsidRPr="00871CF0">
            <w:rPr>
              <w:rFonts w:asciiTheme="minorHAnsi" w:hAnsiTheme="minorHAnsi"/>
              <w:b w:val="0"/>
              <w:bCs w:val="0"/>
              <w:noProof/>
              <w:sz w:val="24"/>
              <w:szCs w:val="24"/>
            </w:rPr>
            <mc:AlternateContent>
              <mc:Choice Requires="wps">
                <w:drawing>
                  <wp:anchor distT="0" distB="0" distL="114300" distR="114300" simplePos="0" relativeHeight="251664384" behindDoc="0" locked="0" layoutInCell="1" allowOverlap="1" wp14:anchorId="3E9F8159" wp14:editId="0D7F31C7">
                    <wp:simplePos x="0" y="0"/>
                    <wp:positionH relativeFrom="column">
                      <wp:posOffset>-567159</wp:posOffset>
                    </wp:positionH>
                    <wp:positionV relativeFrom="paragraph">
                      <wp:posOffset>900365</wp:posOffset>
                    </wp:positionV>
                    <wp:extent cx="1724627" cy="219919"/>
                    <wp:effectExtent l="0" t="0" r="15875" b="8890"/>
                    <wp:wrapNone/>
                    <wp:docPr id="13" name="Text Box 13"/>
                    <wp:cNvGraphicFramePr/>
                    <a:graphic xmlns:a="http://schemas.openxmlformats.org/drawingml/2006/main">
                      <a:graphicData uri="http://schemas.microsoft.com/office/word/2010/wordprocessingShape">
                        <wps:wsp>
                          <wps:cNvSpPr txBox="1"/>
                          <wps:spPr>
                            <a:xfrm>
                              <a:off x="0" y="0"/>
                              <a:ext cx="1724627" cy="219919"/>
                            </a:xfrm>
                            <a:prstGeom prst="rect">
                              <a:avLst/>
                            </a:prstGeom>
                            <a:solidFill>
                              <a:schemeClr val="accent2">
                                <a:lumMod val="75000"/>
                              </a:schemeClr>
                            </a:solidFill>
                            <a:ln w="6350">
                              <a:solidFill>
                                <a:prstClr val="black"/>
                              </a:solidFill>
                            </a:ln>
                          </wps:spPr>
                          <wps:txbx>
                            <w:txbxContent>
                              <w:p w14:paraId="043B76A2" w14:textId="77777777" w:rsidR="003944BB" w:rsidRDefault="003944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F8159" id="Text Box 13" o:spid="_x0000_s1027" type="#_x0000_t202" style="position:absolute;left:0;text-align:left;margin-left:-44.65pt;margin-top:70.9pt;width:135.8pt;height:1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" fillcolor="#c45911 [2405]" strokeweight=".5pt">
                    <v:textbox>
                      <w:txbxContent>
                        <w:p w14:paraId="043B76A2" w14:textId="77777777" w:rsidR="003944BB" w:rsidRDefault="003944BB"/>
                      </w:txbxContent>
                    </v:textbox>
                  </v:shape>
                </w:pict>
              </mc:Fallback>
            </mc:AlternateContent>
          </w:r>
          <w:r w:rsidR="00BF484C">
            <w:rPr>
              <w:noProof/>
            </w:rPr>
            <w:drawing>
              <wp:anchor distT="0" distB="0" distL="114300" distR="114300" simplePos="0" relativeHeight="251666432" behindDoc="1" locked="0" layoutInCell="1" allowOverlap="1" wp14:anchorId="1A02DFC8" wp14:editId="7D054703">
                <wp:simplePos x="0" y="0"/>
                <wp:positionH relativeFrom="column">
                  <wp:posOffset>-613105</wp:posOffset>
                </wp:positionH>
                <wp:positionV relativeFrom="paragraph">
                  <wp:posOffset>-567055</wp:posOffset>
                </wp:positionV>
                <wp:extent cx="1843405" cy="1411834"/>
                <wp:effectExtent l="0" t="0" r="4445" b="0"/>
                <wp:wrapNone/>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pic:nvPicPr>
                      <pic:blipFill rotWithShape="1">
                        <a:blip r:embed="rId12">
                          <a:extLst>
                            <a:ext uri="{28A0092B-C50C-407E-A947-70E740481C1C}">
                              <a14:useLocalDpi xmlns:a14="http://schemas.microsoft.com/office/drawing/2010/main" val="0"/>
                            </a:ext>
                          </a:extLst>
                        </a:blip>
                        <a:srcRect l="4909"/>
                        <a:stretch/>
                      </pic:blipFill>
                      <pic:spPr bwMode="auto">
                        <a:xfrm>
                          <a:off x="0" y="0"/>
                          <a:ext cx="1843405" cy="14118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446C" w:rsidRPr="00871CF0">
            <w:rPr>
              <w:rFonts w:asciiTheme="minorHAnsi" w:hAnsiTheme="minorHAnsi"/>
              <w:b w:val="0"/>
              <w:bCs w:val="0"/>
              <w:noProof/>
              <w:sz w:val="24"/>
              <w:szCs w:val="24"/>
            </w:rPr>
            <mc:AlternateContent>
              <mc:Choice Requires="wps">
                <w:drawing>
                  <wp:anchor distT="0" distB="0" distL="114300" distR="114300" simplePos="0" relativeHeight="251661312" behindDoc="0" locked="0" layoutInCell="1" allowOverlap="1" wp14:anchorId="1BE241A6" wp14:editId="56564DBF">
                    <wp:simplePos x="0" y="0"/>
                    <wp:positionH relativeFrom="column">
                      <wp:posOffset>4182702</wp:posOffset>
                    </wp:positionH>
                    <wp:positionV relativeFrom="paragraph">
                      <wp:posOffset>-493753</wp:posOffset>
                    </wp:positionV>
                    <wp:extent cx="1739290" cy="1520982"/>
                    <wp:effectExtent l="0" t="0" r="635" b="3175"/>
                    <wp:wrapNone/>
                    <wp:docPr id="5" name="Text Box 5"/>
                    <wp:cNvGraphicFramePr/>
                    <a:graphic xmlns:a="http://schemas.openxmlformats.org/drawingml/2006/main">
                      <a:graphicData uri="http://schemas.microsoft.com/office/word/2010/wordprocessingShape">
                        <wps:wsp>
                          <wps:cNvSpPr txBox="1"/>
                          <wps:spPr>
                            <a:xfrm>
                              <a:off x="0" y="0"/>
                              <a:ext cx="1739290" cy="1520982"/>
                            </a:xfrm>
                            <a:prstGeom prst="rect">
                              <a:avLst/>
                            </a:prstGeom>
                            <a:solidFill>
                              <a:schemeClr val="lt1"/>
                            </a:solidFill>
                            <a:ln w="6350">
                              <a:noFill/>
                            </a:ln>
                          </wps:spPr>
                          <wps:txbx>
                            <w:txbxContent>
                              <w:p w14:paraId="6D782969" w14:textId="210B25FB" w:rsidR="003944BB" w:rsidRDefault="003944BB" w:rsidP="00360028">
                                <w:pPr>
                                  <w:ind w:left="-142" w:right="466"/>
                                </w:pPr>
                                <w:r w:rsidRPr="006E446C">
                                  <w:rPr>
                                    <w:noProof/>
                                  </w:rPr>
                                  <w:drawing>
                                    <wp:inline distT="0" distB="0" distL="0" distR="0" wp14:anchorId="43BCCBB3" wp14:editId="20B85FED">
                                      <wp:extent cx="1550035" cy="1446006"/>
                                      <wp:effectExtent l="0" t="0" r="0" b="1905"/>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13"/>
                                              <a:stretch>
                                                <a:fillRect/>
                                              </a:stretch>
                                            </pic:blipFill>
                                            <pic:spPr>
                                              <a:xfrm>
                                                <a:off x="0" y="0"/>
                                                <a:ext cx="1550035" cy="14460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241A6" id="Text Box 5" o:spid="_x0000_s1028" type="#_x0000_t202" style="position:absolute;left:0;text-align:left;margin-left:329.35pt;margin-top:-38.9pt;width:136.95pt;height:11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" fillcolor="white [3201]" stroked="f" strokeweight=".5pt">
                    <v:textbox>
                      <w:txbxContent>
                        <w:p w14:paraId="6D782969" w14:textId="210B25FB" w:rsidR="003944BB" w:rsidRDefault="003944BB" w:rsidP="00360028">
                          <w:pPr>
                            <w:ind w:left="-142" w:right="466"/>
                          </w:pPr>
                          <w:r w:rsidRPr="006E446C">
                            <w:rPr>
                              <w:noProof/>
                            </w:rPr>
                            <w:drawing>
                              <wp:inline distT="0" distB="0" distL="0" distR="0" wp14:anchorId="43BCCBB3" wp14:editId="20B85FED">
                                <wp:extent cx="1550035" cy="1446006"/>
                                <wp:effectExtent l="0" t="0" r="0" b="1905"/>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14"/>
                                        <a:stretch>
                                          <a:fillRect/>
                                        </a:stretch>
                                      </pic:blipFill>
                                      <pic:spPr>
                                        <a:xfrm>
                                          <a:off x="0" y="0"/>
                                          <a:ext cx="1550035" cy="1446006"/>
                                        </a:xfrm>
                                        <a:prstGeom prst="rect">
                                          <a:avLst/>
                                        </a:prstGeom>
                                      </pic:spPr>
                                    </pic:pic>
                                  </a:graphicData>
                                </a:graphic>
                              </wp:inline>
                            </w:drawing>
                          </w:r>
                        </w:p>
                      </w:txbxContent>
                    </v:textbox>
                  </v:shape>
                </w:pict>
              </mc:Fallback>
            </mc:AlternateContent>
          </w:r>
          <w:r w:rsidR="00733A34" w:rsidRPr="00871CF0">
            <w:rPr>
              <w:rFonts w:asciiTheme="minorHAnsi" w:hAnsiTheme="minorHAnsi"/>
              <w:b w:val="0"/>
              <w:bCs w:val="0"/>
              <w:noProof/>
              <w:sz w:val="24"/>
              <w:szCs w:val="24"/>
            </w:rPr>
            <mc:AlternateContent>
              <mc:Choice Requires="wps">
                <w:drawing>
                  <wp:anchor distT="0" distB="0" distL="114300" distR="114300" simplePos="0" relativeHeight="251663360" behindDoc="0" locked="0" layoutInCell="1" allowOverlap="1" wp14:anchorId="312BAD34" wp14:editId="000F6F61">
                    <wp:simplePos x="0" y="0"/>
                    <wp:positionH relativeFrom="column">
                      <wp:posOffset>1238250</wp:posOffset>
                    </wp:positionH>
                    <wp:positionV relativeFrom="paragraph">
                      <wp:posOffset>175165</wp:posOffset>
                    </wp:positionV>
                    <wp:extent cx="2536722"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536722" cy="304800"/>
                            </a:xfrm>
                            <a:prstGeom prst="rect">
                              <a:avLst/>
                            </a:prstGeom>
                            <a:noFill/>
                            <a:ln w="6350">
                              <a:noFill/>
                            </a:ln>
                          </wps:spPr>
                          <wps:txbx>
                            <w:txbxContent>
                              <w:p w14:paraId="0DDE0027" w14:textId="761E83F6" w:rsidR="003944BB" w:rsidRPr="0092101E" w:rsidRDefault="003944BB">
                                <w:pPr>
                                  <w:rPr>
                                    <w:sz w:val="20"/>
                                    <w:szCs w:val="20"/>
                                    <w:lang w:val="en-US"/>
                                  </w:rPr>
                                </w:pPr>
                                <w:r>
                                  <w:rPr>
                                    <w:sz w:val="20"/>
                                    <w:szCs w:val="20"/>
                                    <w:lang w:val="en-US"/>
                                  </w:rPr>
                                  <w:t xml:space="preserve">  </w:t>
                                </w:r>
                                <w:r w:rsidRPr="0092101E">
                                  <w:rPr>
                                    <w:sz w:val="20"/>
                                    <w:szCs w:val="20"/>
                                    <w:lang w:val="en-US"/>
                                  </w:rPr>
                                  <w:t>Prepared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BAD34" id="Text Box 8" o:spid="_x0000_s1029" type="#_x0000_t202" style="position:absolute;left:0;text-align:left;margin-left:97.5pt;margin-top:13.8pt;width:199.7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" filled="f" stroked="f" strokeweight=".5pt">
                    <v:textbox>
                      <w:txbxContent>
                        <w:p w14:paraId="0DDE0027" w14:textId="761E83F6" w:rsidR="003944BB" w:rsidRPr="0092101E" w:rsidRDefault="003944BB">
                          <w:pPr>
                            <w:rPr>
                              <w:sz w:val="20"/>
                              <w:szCs w:val="20"/>
                              <w:lang w:val="en-US"/>
                            </w:rPr>
                          </w:pPr>
                          <w:r>
                            <w:rPr>
                              <w:sz w:val="20"/>
                              <w:szCs w:val="20"/>
                              <w:lang w:val="en-US"/>
                            </w:rPr>
                            <w:t xml:space="preserve">  </w:t>
                          </w:r>
                          <w:r w:rsidRPr="0092101E">
                            <w:rPr>
                              <w:sz w:val="20"/>
                              <w:szCs w:val="20"/>
                              <w:lang w:val="en-US"/>
                            </w:rPr>
                            <w:t>Prepared by:</w:t>
                          </w:r>
                        </w:p>
                      </w:txbxContent>
                    </v:textbox>
                  </v:shape>
                </w:pict>
              </mc:Fallback>
            </mc:AlternateContent>
          </w:r>
          <w:r w:rsidR="00733A34" w:rsidRPr="00871CF0">
            <w:rPr>
              <w:rFonts w:asciiTheme="minorHAnsi" w:hAnsiTheme="minorHAnsi"/>
              <w:b w:val="0"/>
              <w:bCs w:val="0"/>
              <w:noProof/>
              <w:sz w:val="24"/>
              <w:szCs w:val="24"/>
            </w:rPr>
            <mc:AlternateContent>
              <mc:Choice Requires="wps">
                <w:drawing>
                  <wp:anchor distT="0" distB="0" distL="114300" distR="114300" simplePos="0" relativeHeight="251662336" behindDoc="0" locked="0" layoutInCell="1" allowOverlap="1" wp14:anchorId="67155E29" wp14:editId="1DA404E6">
                    <wp:simplePos x="0" y="0"/>
                    <wp:positionH relativeFrom="column">
                      <wp:posOffset>1284790</wp:posOffset>
                    </wp:positionH>
                    <wp:positionV relativeFrom="paragraph">
                      <wp:posOffset>-488596</wp:posOffset>
                    </wp:positionV>
                    <wp:extent cx="3067050" cy="682906"/>
                    <wp:effectExtent l="0" t="0" r="6350" b="3175"/>
                    <wp:wrapNone/>
                    <wp:docPr id="7" name="Text Box 7"/>
                    <wp:cNvGraphicFramePr/>
                    <a:graphic xmlns:a="http://schemas.openxmlformats.org/drawingml/2006/main">
                      <a:graphicData uri="http://schemas.microsoft.com/office/word/2010/wordprocessingShape">
                        <wps:wsp>
                          <wps:cNvSpPr txBox="1"/>
                          <wps:spPr>
                            <a:xfrm>
                              <a:off x="0" y="0"/>
                              <a:ext cx="3067050" cy="682906"/>
                            </a:xfrm>
                            <a:prstGeom prst="rect">
                              <a:avLst/>
                            </a:prstGeom>
                            <a:solidFill>
                              <a:schemeClr val="lt1"/>
                            </a:solidFill>
                            <a:ln w="6350">
                              <a:noFill/>
                            </a:ln>
                          </wps:spPr>
                          <wps:txbx>
                            <w:txbxContent>
                              <w:p w14:paraId="61750318" w14:textId="4E542A71" w:rsidR="003944BB" w:rsidRPr="00871CF0" w:rsidRDefault="003944BB" w:rsidP="0092101E">
                                <w:pPr>
                                  <w:rPr>
                                    <w:b/>
                                    <w:bCs/>
                                    <w:sz w:val="40"/>
                                    <w:szCs w:val="40"/>
                                    <w:lang w:val="en-US"/>
                                  </w:rPr>
                                </w:pPr>
                                <w:r w:rsidRPr="00871CF0">
                                  <w:rPr>
                                    <w:b/>
                                    <w:bCs/>
                                    <w:sz w:val="40"/>
                                    <w:szCs w:val="40"/>
                                    <w:lang w:val="en-US"/>
                                  </w:rPr>
                                  <w:t>TMAP TAX UPDATES</w:t>
                                </w:r>
                              </w:p>
                              <w:p w14:paraId="4B5846A9" w14:textId="62E26BFE" w:rsidR="003944BB" w:rsidRPr="00753AD2" w:rsidRDefault="003944BB">
                                <w:pPr>
                                  <w:rPr>
                                    <w:b/>
                                    <w:bCs/>
                                    <w:color w:val="70AD47" w:themeColor="accent6"/>
                                    <w:sz w:val="28"/>
                                    <w:szCs w:val="28"/>
                                    <w:lang w:val="en-US"/>
                                  </w:rPr>
                                </w:pPr>
                                <w:r w:rsidRPr="00753AD2">
                                  <w:rPr>
                                    <w:b/>
                                    <w:bCs/>
                                    <w:color w:val="70AD47" w:themeColor="accent6"/>
                                    <w:sz w:val="28"/>
                                    <w:szCs w:val="28"/>
                                    <w:lang w:val="en-US"/>
                                  </w:rPr>
                                  <w:t>JUNE 15, 2020 to JULY 15,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55E29" id="Text Box 7" o:spid="_x0000_s1030" type="#_x0000_t202" style="position:absolute;left:0;text-align:left;margin-left:101.15pt;margin-top:-38.45pt;width:241.5pt;height:5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" fillcolor="white [3201]" stroked="f" strokeweight=".5pt">
                    <v:textbox>
                      <w:txbxContent>
                        <w:p w14:paraId="61750318" w14:textId="4E542A71" w:rsidR="003944BB" w:rsidRPr="00871CF0" w:rsidRDefault="003944BB" w:rsidP="0092101E">
                          <w:pPr>
                            <w:rPr>
                              <w:b/>
                              <w:bCs/>
                              <w:sz w:val="40"/>
                              <w:szCs w:val="40"/>
                              <w:lang w:val="en-US"/>
                            </w:rPr>
                          </w:pPr>
                          <w:r w:rsidRPr="00871CF0">
                            <w:rPr>
                              <w:b/>
                              <w:bCs/>
                              <w:sz w:val="40"/>
                              <w:szCs w:val="40"/>
                              <w:lang w:val="en-US"/>
                            </w:rPr>
                            <w:t>TMAP TAX UPDATES</w:t>
                          </w:r>
                        </w:p>
                        <w:p w14:paraId="4B5846A9" w14:textId="62E26BFE" w:rsidR="003944BB" w:rsidRPr="00753AD2" w:rsidRDefault="003944BB">
                          <w:pPr>
                            <w:rPr>
                              <w:b/>
                              <w:bCs/>
                              <w:color w:val="70AD47" w:themeColor="accent6"/>
                              <w:sz w:val="28"/>
                              <w:szCs w:val="28"/>
                              <w:lang w:val="en-US"/>
                            </w:rPr>
                          </w:pPr>
                          <w:r w:rsidRPr="00753AD2">
                            <w:rPr>
                              <w:b/>
                              <w:bCs/>
                              <w:color w:val="70AD47" w:themeColor="accent6"/>
                              <w:sz w:val="28"/>
                              <w:szCs w:val="28"/>
                              <w:lang w:val="en-US"/>
                            </w:rPr>
                            <w:t>JUNE 15, 2020 to JULY 15, 2020</w:t>
                          </w:r>
                        </w:p>
                      </w:txbxContent>
                    </v:textbox>
                  </v:shape>
                </w:pict>
              </mc:Fallback>
            </mc:AlternateContent>
          </w:r>
          <w:r w:rsidR="005826E0" w:rsidRPr="00871CF0">
            <w:rPr>
              <w:rFonts w:asciiTheme="minorHAnsi" w:hAnsiTheme="minorHAnsi"/>
              <w:kern w:val="2"/>
              <w:sz w:val="24"/>
              <w:szCs w:val="24"/>
              <w:lang w:eastAsia="ja-JP"/>
            </w:rPr>
            <w:t xml:space="preserve">                  </w:t>
          </w:r>
          <w:r w:rsidR="005826E0" w:rsidRPr="00871CF0">
            <w:rPr>
              <w:rFonts w:asciiTheme="minorHAnsi" w:hAnsiTheme="minorHAnsi"/>
              <w:kern w:val="2"/>
              <w:sz w:val="24"/>
              <w:szCs w:val="24"/>
              <w:lang w:eastAsia="ja-JP"/>
            </w:rPr>
            <w:tab/>
          </w:r>
          <w:r w:rsidR="005826E0" w:rsidRPr="00871CF0">
            <w:rPr>
              <w:rFonts w:asciiTheme="minorHAnsi" w:hAnsiTheme="minorHAnsi"/>
              <w:kern w:val="2"/>
              <w:sz w:val="24"/>
              <w:szCs w:val="24"/>
              <w:lang w:eastAsia="ja-JP"/>
            </w:rPr>
            <w:tab/>
          </w:r>
          <w:r w:rsidR="005826E0" w:rsidRPr="00871CF0">
            <w:rPr>
              <w:rFonts w:asciiTheme="minorHAnsi" w:hAnsiTheme="minorHAnsi"/>
              <w:kern w:val="2"/>
              <w:sz w:val="24"/>
              <w:szCs w:val="24"/>
              <w:lang w:eastAsia="ja-JP"/>
            </w:rPr>
            <w:tab/>
          </w:r>
          <w:r w:rsidR="005826E0" w:rsidRPr="00871CF0">
            <w:rPr>
              <w:rFonts w:asciiTheme="minorHAnsi" w:hAnsiTheme="minorHAnsi"/>
              <w:kern w:val="2"/>
              <w:sz w:val="24"/>
              <w:szCs w:val="24"/>
              <w:lang w:eastAsia="ja-JP"/>
            </w:rPr>
            <w:tab/>
          </w:r>
          <w:r w:rsidR="005826E0" w:rsidRPr="00871CF0">
            <w:rPr>
              <w:rFonts w:asciiTheme="minorHAnsi" w:hAnsiTheme="minorHAnsi"/>
              <w:kern w:val="2"/>
              <w:sz w:val="24"/>
              <w:szCs w:val="24"/>
              <w:lang w:eastAsia="ja-JP"/>
            </w:rPr>
            <w:tab/>
          </w:r>
          <w:r w:rsidR="005826E0" w:rsidRPr="00871CF0">
            <w:rPr>
              <w:rFonts w:asciiTheme="minorHAnsi" w:hAnsiTheme="minorHAnsi"/>
              <w:kern w:val="2"/>
              <w:sz w:val="24"/>
              <w:szCs w:val="24"/>
              <w:lang w:eastAsia="ja-JP"/>
            </w:rPr>
            <w:tab/>
          </w:r>
          <w:r w:rsidR="005826E0" w:rsidRPr="00871CF0">
            <w:rPr>
              <w:rFonts w:asciiTheme="minorHAnsi" w:hAnsiTheme="minorHAnsi"/>
              <w:kern w:val="2"/>
              <w:sz w:val="24"/>
              <w:szCs w:val="24"/>
              <w:lang w:eastAsia="ja-JP"/>
            </w:rPr>
            <w:tab/>
          </w:r>
          <w:r w:rsidR="005826E0" w:rsidRPr="00871CF0">
            <w:rPr>
              <w:rFonts w:asciiTheme="minorHAnsi" w:hAnsiTheme="minorHAnsi"/>
              <w:kern w:val="2"/>
              <w:sz w:val="24"/>
              <w:szCs w:val="24"/>
              <w:lang w:eastAsia="ja-JP"/>
            </w:rPr>
            <w:tab/>
          </w:r>
          <w:r w:rsidR="005826E0" w:rsidRPr="00871CF0">
            <w:rPr>
              <w:rFonts w:asciiTheme="minorHAnsi" w:hAnsiTheme="minorHAnsi"/>
              <w:kern w:val="2"/>
              <w:sz w:val="24"/>
              <w:szCs w:val="24"/>
              <w:lang w:eastAsia="ja-JP"/>
            </w:rPr>
            <w:tab/>
          </w:r>
          <w:r w:rsidR="005826E0" w:rsidRPr="00871CF0">
            <w:rPr>
              <w:rFonts w:asciiTheme="minorHAnsi" w:hAnsiTheme="minorHAnsi"/>
              <w:kern w:val="2"/>
              <w:sz w:val="24"/>
              <w:szCs w:val="24"/>
              <w:lang w:eastAsia="ja-JP"/>
            </w:rPr>
            <w:tab/>
          </w:r>
          <w:r w:rsidR="005826E0" w:rsidRPr="00871CF0">
            <w:rPr>
              <w:rFonts w:asciiTheme="minorHAnsi" w:hAnsiTheme="minorHAnsi"/>
              <w:kern w:val="2"/>
              <w:sz w:val="24"/>
              <w:szCs w:val="24"/>
              <w:lang w:eastAsia="ja-JP"/>
            </w:rPr>
            <w:tab/>
          </w:r>
          <w:r w:rsidR="00EE3796">
            <w:rPr>
              <w:rFonts w:asciiTheme="minorHAnsi" w:hAnsiTheme="minorHAnsi"/>
              <w:kern w:val="2"/>
              <w:sz w:val="24"/>
              <w:szCs w:val="24"/>
              <w:lang w:eastAsia="ja-JP"/>
            </w:rPr>
            <w:t xml:space="preserve"> </w:t>
          </w:r>
          <w:r w:rsidR="0092101E" w:rsidRPr="007C33E8">
            <w:rPr>
              <w:rFonts w:ascii="Georgia" w:hAnsi="Georgia"/>
              <w:noProof/>
              <w:kern w:val="2"/>
              <w:sz w:val="20"/>
              <w:szCs w:val="20"/>
              <w:lang w:eastAsia="ja-JP"/>
            </w:rPr>
            <w:drawing>
              <wp:inline distT="0" distB="0" distL="0" distR="0" wp14:anchorId="6EAB00D0" wp14:editId="27AD8623">
                <wp:extent cx="2508250" cy="512902"/>
                <wp:effectExtent l="0" t="0" r="6350" b="1905"/>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rawing&#10;&#10;Description automatically generated"/>
                        <pic:cNvPicPr/>
                      </pic:nvPicPr>
                      <pic:blipFill>
                        <a:blip r:embed="rId15"/>
                        <a:stretch>
                          <a:fillRect/>
                        </a:stretch>
                      </pic:blipFill>
                      <pic:spPr>
                        <a:xfrm>
                          <a:off x="0" y="0"/>
                          <a:ext cx="2648311" cy="541543"/>
                        </a:xfrm>
                        <a:prstGeom prst="rect">
                          <a:avLst/>
                        </a:prstGeom>
                      </pic:spPr>
                    </pic:pic>
                  </a:graphicData>
                </a:graphic>
              </wp:inline>
            </w:drawing>
          </w:r>
        </w:p>
        <w:p w14:paraId="0FB5F9BB" w14:textId="67C42CFB" w:rsidR="005826E0" w:rsidRPr="007C33E8" w:rsidRDefault="00E10756" w:rsidP="00871CF0">
          <w:pPr>
            <w:pStyle w:val="TOCHeading"/>
            <w:spacing w:after="240"/>
            <w:ind w:left="1560" w:hanging="142"/>
            <w:rPr>
              <w:rFonts w:ascii="Georgia" w:hAnsi="Georgia"/>
              <w:i/>
              <w:sz w:val="20"/>
              <w:szCs w:val="20"/>
            </w:rPr>
          </w:pPr>
          <w:r w:rsidRPr="007C33E8">
            <w:rPr>
              <w:rFonts w:ascii="Georgia" w:hAnsi="Georgia"/>
              <w:kern w:val="2"/>
              <w:sz w:val="20"/>
              <w:szCs w:val="20"/>
              <w:lang w:eastAsia="ja-JP"/>
            </w:rPr>
            <w:t xml:space="preserve">       </w:t>
          </w:r>
          <w:r w:rsidR="00F42DC9">
            <w:rPr>
              <w:rFonts w:ascii="Georgia" w:hAnsi="Georgia"/>
              <w:kern w:val="2"/>
              <w:sz w:val="20"/>
              <w:szCs w:val="20"/>
              <w:lang w:eastAsia="ja-JP"/>
            </w:rPr>
            <w:t xml:space="preserve"> </w:t>
          </w:r>
          <w:r w:rsidR="005826E0" w:rsidRPr="007C33E8">
            <w:rPr>
              <w:rFonts w:ascii="Arial" w:hAnsi="Arial" w:cs="Arial"/>
              <w:b w:val="0"/>
              <w:bCs w:val="0"/>
              <w:color w:val="C45911" w:themeColor="accent2" w:themeShade="BF"/>
              <w:sz w:val="32"/>
              <w:szCs w:val="32"/>
            </w:rPr>
            <w:t>What’s Inside</w:t>
          </w:r>
          <w:r w:rsidR="00223F10" w:rsidRPr="007C33E8">
            <w:rPr>
              <w:rFonts w:ascii="Arial" w:hAnsi="Arial" w:cs="Arial"/>
              <w:b w:val="0"/>
              <w:bCs w:val="0"/>
              <w:color w:val="C45911" w:themeColor="accent2" w:themeShade="BF"/>
              <w:sz w:val="32"/>
              <w:szCs w:val="32"/>
            </w:rPr>
            <w:t>?</w:t>
          </w:r>
        </w:p>
      </w:sdtContent>
    </w:sdt>
    <w:p w14:paraId="07EA498C" w14:textId="6AF14979" w:rsidR="001070E7" w:rsidRPr="00C45D35" w:rsidRDefault="005826E0">
      <w:pPr>
        <w:pStyle w:val="TOC1"/>
        <w:rPr>
          <w:rFonts w:eastAsiaTheme="minorEastAsia" w:cstheme="minorBidi"/>
          <w:spacing w:val="0"/>
          <w:sz w:val="24"/>
          <w:szCs w:val="24"/>
          <w:lang w:val="en-PH"/>
        </w:rPr>
      </w:pPr>
      <w:r w:rsidRPr="007C33E8">
        <w:rPr>
          <w:color w:val="ED7D31" w:themeColor="accent2"/>
        </w:rPr>
        <w:fldChar w:fldCharType="begin"/>
      </w:r>
      <w:r w:rsidRPr="007C33E8">
        <w:rPr>
          <w:color w:val="ED7D31" w:themeColor="accent2"/>
        </w:rPr>
        <w:instrText xml:space="preserve"> TOC \o "1-3" \h \z \u </w:instrText>
      </w:r>
      <w:r w:rsidRPr="007C33E8">
        <w:rPr>
          <w:color w:val="ED7D31" w:themeColor="accent2"/>
        </w:rPr>
        <w:fldChar w:fldCharType="separate"/>
      </w:r>
      <w:hyperlink w:anchor="_Toc50141418" w:history="1">
        <w:r w:rsidR="001070E7" w:rsidRPr="00C45D35">
          <w:rPr>
            <w:rStyle w:val="Hyperlink"/>
            <w:b/>
            <w:bCs/>
          </w:rPr>
          <w:t>SUPREME COURT DECISIONS</w:t>
        </w:r>
      </w:hyperlink>
    </w:p>
    <w:p w14:paraId="42143F8C" w14:textId="44BC9E02" w:rsidR="001070E7" w:rsidRPr="00C45D35" w:rsidRDefault="00C307DF">
      <w:pPr>
        <w:pStyle w:val="TOC1"/>
        <w:rPr>
          <w:rFonts w:eastAsiaTheme="minorEastAsia" w:cstheme="minorBidi"/>
          <w:spacing w:val="0"/>
          <w:sz w:val="24"/>
          <w:szCs w:val="24"/>
          <w:lang w:val="en-PH"/>
        </w:rPr>
      </w:pPr>
      <w:hyperlink w:anchor="_Toc50141419" w:history="1">
        <w:r w:rsidR="001070E7" w:rsidRPr="00C45D35">
          <w:rPr>
            <w:rStyle w:val="Hyperlink"/>
          </w:rPr>
          <w:t>An owner of real property is not liable for real property taxes that accrued prior to the acquisition of the real property.</w:t>
        </w:r>
        <w:r w:rsidR="001070E7" w:rsidRPr="00C45D35">
          <w:rPr>
            <w:webHidden/>
          </w:rPr>
          <w:tab/>
        </w:r>
        <w:r w:rsidR="001070E7" w:rsidRPr="00C45D35">
          <w:rPr>
            <w:webHidden/>
          </w:rPr>
          <w:fldChar w:fldCharType="begin"/>
        </w:r>
        <w:r w:rsidR="001070E7" w:rsidRPr="00C45D35">
          <w:rPr>
            <w:webHidden/>
          </w:rPr>
          <w:instrText xml:space="preserve"> PAGEREF _Toc50141419 \h </w:instrText>
        </w:r>
        <w:r w:rsidR="001070E7" w:rsidRPr="00C45D35">
          <w:rPr>
            <w:webHidden/>
          </w:rPr>
        </w:r>
        <w:r w:rsidR="001070E7" w:rsidRPr="00C45D35">
          <w:rPr>
            <w:webHidden/>
          </w:rPr>
          <w:fldChar w:fldCharType="separate"/>
        </w:r>
        <w:r w:rsidR="00C972BC">
          <w:rPr>
            <w:webHidden/>
          </w:rPr>
          <w:t>3</w:t>
        </w:r>
        <w:r w:rsidR="001070E7" w:rsidRPr="00C45D35">
          <w:rPr>
            <w:webHidden/>
          </w:rPr>
          <w:fldChar w:fldCharType="end"/>
        </w:r>
      </w:hyperlink>
    </w:p>
    <w:p w14:paraId="1DD6C6D6" w14:textId="459C8837" w:rsidR="001070E7" w:rsidRPr="00C45D35" w:rsidRDefault="00C307DF">
      <w:pPr>
        <w:pStyle w:val="TOC1"/>
        <w:rPr>
          <w:rFonts w:eastAsiaTheme="minorEastAsia" w:cstheme="minorBidi"/>
          <w:spacing w:val="0"/>
          <w:sz w:val="24"/>
          <w:szCs w:val="24"/>
          <w:lang w:val="en-PH"/>
        </w:rPr>
      </w:pPr>
      <w:hyperlink w:anchor="_Toc50141420" w:history="1">
        <w:r w:rsidR="001070E7" w:rsidRPr="00C45D35">
          <w:rPr>
            <w:rStyle w:val="Hyperlink"/>
            <w:b/>
            <w:bCs/>
          </w:rPr>
          <w:t>COURT OF TAX APPEALS DECISIONS</w:t>
        </w:r>
      </w:hyperlink>
    </w:p>
    <w:p w14:paraId="5396C593" w14:textId="04F98F85" w:rsidR="001070E7" w:rsidRPr="00C45D35" w:rsidRDefault="00C307DF">
      <w:pPr>
        <w:pStyle w:val="TOC1"/>
        <w:rPr>
          <w:rFonts w:eastAsiaTheme="minorEastAsia" w:cstheme="minorBidi"/>
          <w:spacing w:val="0"/>
          <w:sz w:val="24"/>
          <w:szCs w:val="24"/>
          <w:lang w:val="en-PH"/>
        </w:rPr>
      </w:pPr>
      <w:hyperlink w:anchor="_Toc50141421" w:history="1">
        <w:r w:rsidR="001070E7" w:rsidRPr="00C45D35">
          <w:rPr>
            <w:rStyle w:val="Hyperlink"/>
          </w:rPr>
          <w:t>No tax (civil) liability may be imposed by the court in a criminal case without a prior assessment issued by the Commissioner of Internal Revenue.</w:t>
        </w:r>
        <w:r w:rsidR="001070E7" w:rsidRPr="00C45D35">
          <w:rPr>
            <w:webHidden/>
          </w:rPr>
          <w:tab/>
        </w:r>
        <w:r w:rsidR="001070E7" w:rsidRPr="00C45D35">
          <w:rPr>
            <w:webHidden/>
          </w:rPr>
          <w:fldChar w:fldCharType="begin"/>
        </w:r>
        <w:r w:rsidR="001070E7" w:rsidRPr="00C45D35">
          <w:rPr>
            <w:webHidden/>
          </w:rPr>
          <w:instrText xml:space="preserve"> PAGEREF _Toc50141421 \h </w:instrText>
        </w:r>
        <w:r w:rsidR="001070E7" w:rsidRPr="00C45D35">
          <w:rPr>
            <w:webHidden/>
          </w:rPr>
        </w:r>
        <w:r w:rsidR="001070E7" w:rsidRPr="00C45D35">
          <w:rPr>
            <w:webHidden/>
          </w:rPr>
          <w:fldChar w:fldCharType="separate"/>
        </w:r>
        <w:r w:rsidR="00C972BC">
          <w:rPr>
            <w:webHidden/>
          </w:rPr>
          <w:t>3</w:t>
        </w:r>
        <w:r w:rsidR="001070E7" w:rsidRPr="00C45D35">
          <w:rPr>
            <w:webHidden/>
          </w:rPr>
          <w:fldChar w:fldCharType="end"/>
        </w:r>
      </w:hyperlink>
    </w:p>
    <w:p w14:paraId="5A267D54" w14:textId="1FC67D02" w:rsidR="001070E7" w:rsidRPr="00C45D35" w:rsidRDefault="00C307DF">
      <w:pPr>
        <w:pStyle w:val="TOC1"/>
        <w:rPr>
          <w:rFonts w:eastAsiaTheme="minorEastAsia" w:cstheme="minorBidi"/>
          <w:spacing w:val="0"/>
          <w:sz w:val="24"/>
          <w:szCs w:val="24"/>
          <w:lang w:val="en-PH"/>
        </w:rPr>
      </w:pPr>
      <w:hyperlink w:anchor="_Toc50141422" w:history="1">
        <w:r w:rsidR="001070E7" w:rsidRPr="00C45D35">
          <w:rPr>
            <w:rStyle w:val="Hyperlink"/>
          </w:rPr>
          <w:t>An Information must state the principal amount of tax due.</w:t>
        </w:r>
        <w:r w:rsidR="001070E7" w:rsidRPr="00C45D35">
          <w:rPr>
            <w:webHidden/>
          </w:rPr>
          <w:tab/>
        </w:r>
        <w:r w:rsidR="001070E7" w:rsidRPr="00C45D35">
          <w:rPr>
            <w:webHidden/>
          </w:rPr>
          <w:fldChar w:fldCharType="begin"/>
        </w:r>
        <w:r w:rsidR="001070E7" w:rsidRPr="00C45D35">
          <w:rPr>
            <w:webHidden/>
          </w:rPr>
          <w:instrText xml:space="preserve"> PAGEREF _Toc50141422 \h </w:instrText>
        </w:r>
        <w:r w:rsidR="001070E7" w:rsidRPr="00C45D35">
          <w:rPr>
            <w:webHidden/>
          </w:rPr>
        </w:r>
        <w:r w:rsidR="001070E7" w:rsidRPr="00C45D35">
          <w:rPr>
            <w:webHidden/>
          </w:rPr>
          <w:fldChar w:fldCharType="separate"/>
        </w:r>
        <w:r w:rsidR="00C972BC">
          <w:rPr>
            <w:webHidden/>
          </w:rPr>
          <w:t>4</w:t>
        </w:r>
        <w:r w:rsidR="001070E7" w:rsidRPr="00C45D35">
          <w:rPr>
            <w:webHidden/>
          </w:rPr>
          <w:fldChar w:fldCharType="end"/>
        </w:r>
      </w:hyperlink>
    </w:p>
    <w:p w14:paraId="11A2F30F" w14:textId="5C6AE1DC" w:rsidR="001070E7" w:rsidRPr="00C45D35" w:rsidRDefault="00C307DF">
      <w:pPr>
        <w:pStyle w:val="TOC1"/>
        <w:rPr>
          <w:rFonts w:eastAsiaTheme="minorEastAsia" w:cstheme="minorBidi"/>
          <w:spacing w:val="0"/>
          <w:sz w:val="24"/>
          <w:szCs w:val="24"/>
          <w:lang w:val="en-PH"/>
        </w:rPr>
      </w:pPr>
      <w:hyperlink w:anchor="_Toc50141423" w:history="1">
        <w:r w:rsidR="001070E7" w:rsidRPr="00C45D35">
          <w:rPr>
            <w:rStyle w:val="Hyperlink"/>
          </w:rPr>
          <w:t>An accused corporation has the same right to an arraignment as a natural person.</w:t>
        </w:r>
        <w:r w:rsidR="001070E7" w:rsidRPr="00C45D35">
          <w:rPr>
            <w:webHidden/>
          </w:rPr>
          <w:tab/>
        </w:r>
        <w:r w:rsidR="001070E7" w:rsidRPr="00C45D35">
          <w:rPr>
            <w:webHidden/>
          </w:rPr>
          <w:fldChar w:fldCharType="begin"/>
        </w:r>
        <w:r w:rsidR="001070E7" w:rsidRPr="00C45D35">
          <w:rPr>
            <w:webHidden/>
          </w:rPr>
          <w:instrText xml:space="preserve"> PAGEREF _Toc50141423 \h </w:instrText>
        </w:r>
        <w:r w:rsidR="001070E7" w:rsidRPr="00C45D35">
          <w:rPr>
            <w:webHidden/>
          </w:rPr>
        </w:r>
        <w:r w:rsidR="001070E7" w:rsidRPr="00C45D35">
          <w:rPr>
            <w:webHidden/>
          </w:rPr>
          <w:fldChar w:fldCharType="separate"/>
        </w:r>
        <w:r w:rsidR="00C972BC">
          <w:rPr>
            <w:webHidden/>
          </w:rPr>
          <w:t>4</w:t>
        </w:r>
        <w:r w:rsidR="001070E7" w:rsidRPr="00C45D35">
          <w:rPr>
            <w:webHidden/>
          </w:rPr>
          <w:fldChar w:fldCharType="end"/>
        </w:r>
      </w:hyperlink>
    </w:p>
    <w:p w14:paraId="33533D5F" w14:textId="1E9511A4" w:rsidR="001070E7" w:rsidRPr="00C45D35" w:rsidRDefault="00C307DF">
      <w:pPr>
        <w:pStyle w:val="TOC1"/>
        <w:rPr>
          <w:rFonts w:eastAsiaTheme="minorEastAsia" w:cstheme="minorBidi"/>
          <w:spacing w:val="0"/>
          <w:sz w:val="24"/>
          <w:szCs w:val="24"/>
          <w:lang w:val="en-PH"/>
        </w:rPr>
      </w:pPr>
      <w:hyperlink w:anchor="_Toc50141424" w:history="1">
        <w:r w:rsidR="001070E7" w:rsidRPr="00C45D35">
          <w:rPr>
            <w:rStyle w:val="Hyperlink"/>
          </w:rPr>
          <w:t>The period of filing an appeal with the CTA due to inaction of the Commissioner of Internal Revenue may be reckoned from the date of re-submission of supporting documents requested by the Commissioner.</w:t>
        </w:r>
        <w:r w:rsidR="001070E7" w:rsidRPr="00C45D35">
          <w:rPr>
            <w:webHidden/>
          </w:rPr>
          <w:tab/>
        </w:r>
        <w:r w:rsidR="001070E7" w:rsidRPr="00C45D35">
          <w:rPr>
            <w:webHidden/>
          </w:rPr>
          <w:fldChar w:fldCharType="begin"/>
        </w:r>
        <w:r w:rsidR="001070E7" w:rsidRPr="00C45D35">
          <w:rPr>
            <w:webHidden/>
          </w:rPr>
          <w:instrText xml:space="preserve"> PAGEREF _Toc50141424 \h </w:instrText>
        </w:r>
        <w:r w:rsidR="001070E7" w:rsidRPr="00C45D35">
          <w:rPr>
            <w:webHidden/>
          </w:rPr>
        </w:r>
        <w:r w:rsidR="001070E7" w:rsidRPr="00C45D35">
          <w:rPr>
            <w:webHidden/>
          </w:rPr>
          <w:fldChar w:fldCharType="separate"/>
        </w:r>
        <w:r w:rsidR="00C972BC">
          <w:rPr>
            <w:webHidden/>
          </w:rPr>
          <w:t>4</w:t>
        </w:r>
        <w:r w:rsidR="001070E7" w:rsidRPr="00C45D35">
          <w:rPr>
            <w:webHidden/>
          </w:rPr>
          <w:fldChar w:fldCharType="end"/>
        </w:r>
      </w:hyperlink>
    </w:p>
    <w:p w14:paraId="1B6644D3" w14:textId="0558361F" w:rsidR="001070E7" w:rsidRPr="00C45D35" w:rsidRDefault="00C307DF">
      <w:pPr>
        <w:pStyle w:val="TOC1"/>
        <w:rPr>
          <w:rFonts w:eastAsiaTheme="minorEastAsia" w:cstheme="minorBidi"/>
          <w:spacing w:val="0"/>
          <w:sz w:val="24"/>
          <w:szCs w:val="24"/>
          <w:lang w:val="en-PH"/>
        </w:rPr>
      </w:pPr>
      <w:hyperlink w:anchor="_Toc50141425" w:history="1">
        <w:r w:rsidR="001070E7" w:rsidRPr="00C45D35">
          <w:rPr>
            <w:rStyle w:val="Hyperlink"/>
            <w:rFonts w:eastAsia="Calibri"/>
          </w:rPr>
          <w:t>Additional Paid In Capital (APIC) should be included in the computation of paid-up capital for purposes of computing Improperly Accumulated Earnings Tax (IAET)</w:t>
        </w:r>
        <w:r w:rsidR="001070E7" w:rsidRPr="00C45D35">
          <w:rPr>
            <w:webHidden/>
          </w:rPr>
          <w:tab/>
        </w:r>
        <w:r w:rsidR="001070E7" w:rsidRPr="00C45D35">
          <w:rPr>
            <w:webHidden/>
          </w:rPr>
          <w:fldChar w:fldCharType="begin"/>
        </w:r>
        <w:r w:rsidR="001070E7" w:rsidRPr="00C45D35">
          <w:rPr>
            <w:webHidden/>
          </w:rPr>
          <w:instrText xml:space="preserve"> PAGEREF _Toc50141425 \h </w:instrText>
        </w:r>
        <w:r w:rsidR="001070E7" w:rsidRPr="00C45D35">
          <w:rPr>
            <w:webHidden/>
          </w:rPr>
        </w:r>
        <w:r w:rsidR="001070E7" w:rsidRPr="00C45D35">
          <w:rPr>
            <w:webHidden/>
          </w:rPr>
          <w:fldChar w:fldCharType="separate"/>
        </w:r>
        <w:r w:rsidR="00C972BC">
          <w:rPr>
            <w:webHidden/>
          </w:rPr>
          <w:t>4</w:t>
        </w:r>
        <w:r w:rsidR="001070E7" w:rsidRPr="00C45D35">
          <w:rPr>
            <w:webHidden/>
          </w:rPr>
          <w:fldChar w:fldCharType="end"/>
        </w:r>
      </w:hyperlink>
    </w:p>
    <w:p w14:paraId="3D6B07ED" w14:textId="55B09865" w:rsidR="001070E7" w:rsidRPr="00C45D35" w:rsidRDefault="00C307DF">
      <w:pPr>
        <w:pStyle w:val="TOC1"/>
        <w:rPr>
          <w:rFonts w:eastAsiaTheme="minorEastAsia" w:cstheme="minorBidi"/>
          <w:spacing w:val="0"/>
          <w:sz w:val="24"/>
          <w:szCs w:val="24"/>
          <w:lang w:val="en-PH"/>
        </w:rPr>
      </w:pPr>
      <w:hyperlink w:anchor="_Toc50141426" w:history="1">
        <w:r w:rsidR="001070E7" w:rsidRPr="00C45D35">
          <w:rPr>
            <w:rStyle w:val="Hyperlink"/>
          </w:rPr>
          <w:t xml:space="preserve">The propriety of the issuance of a Letter of Authority and a </w:t>
        </w:r>
        <w:r w:rsidR="001070E7" w:rsidRPr="00C45D35">
          <w:rPr>
            <w:rStyle w:val="Hyperlink"/>
            <w:i/>
            <w:iCs/>
          </w:rPr>
          <w:t>subpoena duces tecum</w:t>
        </w:r>
        <w:r w:rsidR="001070E7" w:rsidRPr="00C45D35">
          <w:rPr>
            <w:rStyle w:val="Hyperlink"/>
          </w:rPr>
          <w:t xml:space="preserve"> may not be considered as among the “other matters” that fall within the jurisdiction of the CTA.</w:t>
        </w:r>
        <w:r w:rsidR="001070E7" w:rsidRPr="00C45D35">
          <w:rPr>
            <w:webHidden/>
          </w:rPr>
          <w:tab/>
        </w:r>
        <w:r w:rsidR="001070E7" w:rsidRPr="00C45D35">
          <w:rPr>
            <w:webHidden/>
          </w:rPr>
          <w:fldChar w:fldCharType="begin"/>
        </w:r>
        <w:r w:rsidR="001070E7" w:rsidRPr="00C45D35">
          <w:rPr>
            <w:webHidden/>
          </w:rPr>
          <w:instrText xml:space="preserve"> PAGEREF _Toc50141426 \h </w:instrText>
        </w:r>
        <w:r w:rsidR="001070E7" w:rsidRPr="00C45D35">
          <w:rPr>
            <w:webHidden/>
          </w:rPr>
        </w:r>
        <w:r w:rsidR="001070E7" w:rsidRPr="00C45D35">
          <w:rPr>
            <w:webHidden/>
          </w:rPr>
          <w:fldChar w:fldCharType="separate"/>
        </w:r>
        <w:r w:rsidR="00C972BC">
          <w:rPr>
            <w:webHidden/>
          </w:rPr>
          <w:t>5</w:t>
        </w:r>
        <w:r w:rsidR="001070E7" w:rsidRPr="00C45D35">
          <w:rPr>
            <w:webHidden/>
          </w:rPr>
          <w:fldChar w:fldCharType="end"/>
        </w:r>
      </w:hyperlink>
    </w:p>
    <w:p w14:paraId="4E1BEE8E" w14:textId="134BFF52" w:rsidR="001070E7" w:rsidRPr="00C45D35" w:rsidRDefault="00C307DF">
      <w:pPr>
        <w:pStyle w:val="TOC1"/>
        <w:rPr>
          <w:rFonts w:eastAsiaTheme="minorEastAsia" w:cstheme="minorBidi"/>
          <w:spacing w:val="0"/>
          <w:sz w:val="24"/>
          <w:szCs w:val="24"/>
          <w:lang w:val="en-PH"/>
        </w:rPr>
      </w:pPr>
      <w:hyperlink w:anchor="_Toc50141427" w:history="1">
        <w:r w:rsidR="001070E7" w:rsidRPr="00C45D35">
          <w:rPr>
            <w:rStyle w:val="Hyperlink"/>
          </w:rPr>
          <w:t>A request for reconsideration of the Final Decision on Disputed Assessment pending with the Commissioner must be disclosed in the Certification Against Forum Shopping. A Motion for Suspension of Collection of Taxes is akin to injunction such that it is a strong arm of equity and the applicant must come to Court with equity or with clean hands.</w:t>
        </w:r>
        <w:r w:rsidR="001070E7" w:rsidRPr="00C45D35">
          <w:rPr>
            <w:webHidden/>
          </w:rPr>
          <w:tab/>
        </w:r>
        <w:r w:rsidR="001070E7" w:rsidRPr="00C45D35">
          <w:rPr>
            <w:webHidden/>
          </w:rPr>
          <w:fldChar w:fldCharType="begin"/>
        </w:r>
        <w:r w:rsidR="001070E7" w:rsidRPr="00C45D35">
          <w:rPr>
            <w:webHidden/>
          </w:rPr>
          <w:instrText xml:space="preserve"> PAGEREF _Toc50141427 \h </w:instrText>
        </w:r>
        <w:r w:rsidR="001070E7" w:rsidRPr="00C45D35">
          <w:rPr>
            <w:webHidden/>
          </w:rPr>
        </w:r>
        <w:r w:rsidR="001070E7" w:rsidRPr="00C45D35">
          <w:rPr>
            <w:webHidden/>
          </w:rPr>
          <w:fldChar w:fldCharType="separate"/>
        </w:r>
        <w:r w:rsidR="00C972BC">
          <w:rPr>
            <w:webHidden/>
          </w:rPr>
          <w:t>5</w:t>
        </w:r>
        <w:r w:rsidR="001070E7" w:rsidRPr="00C45D35">
          <w:rPr>
            <w:webHidden/>
          </w:rPr>
          <w:fldChar w:fldCharType="end"/>
        </w:r>
      </w:hyperlink>
    </w:p>
    <w:p w14:paraId="209BA72A" w14:textId="21227721" w:rsidR="001070E7" w:rsidRPr="00C45D35" w:rsidRDefault="00C307DF">
      <w:pPr>
        <w:pStyle w:val="TOC1"/>
        <w:rPr>
          <w:rFonts w:eastAsiaTheme="minorEastAsia" w:cstheme="minorBidi"/>
          <w:spacing w:val="0"/>
          <w:sz w:val="24"/>
          <w:szCs w:val="24"/>
          <w:lang w:val="en-PH"/>
        </w:rPr>
      </w:pPr>
      <w:hyperlink w:anchor="_Toc50141428" w:history="1">
        <w:r w:rsidR="001070E7" w:rsidRPr="00C45D35">
          <w:rPr>
            <w:rStyle w:val="Hyperlink"/>
            <w:b/>
            <w:bCs/>
          </w:rPr>
          <w:t>BUREAU OF INTERNAL REVENUE</w:t>
        </w:r>
      </w:hyperlink>
    </w:p>
    <w:p w14:paraId="0E68A71D" w14:textId="573B0E6A" w:rsidR="001070E7" w:rsidRPr="00C45D35" w:rsidRDefault="00C307DF">
      <w:pPr>
        <w:pStyle w:val="TOC1"/>
        <w:rPr>
          <w:rFonts w:eastAsiaTheme="minorEastAsia" w:cstheme="minorBidi"/>
          <w:spacing w:val="0"/>
          <w:sz w:val="24"/>
          <w:szCs w:val="24"/>
          <w:lang w:val="en-PH"/>
        </w:rPr>
      </w:pPr>
      <w:hyperlink w:anchor="_Toc50141429" w:history="1">
        <w:r w:rsidR="001070E7" w:rsidRPr="00C45D35">
          <w:rPr>
            <w:rStyle w:val="Hyperlink"/>
          </w:rPr>
          <w:t>Revenue Regulations (RR)</w:t>
        </w:r>
      </w:hyperlink>
      <w:r w:rsidR="0043225F" w:rsidRPr="00C45D35">
        <w:rPr>
          <w:rFonts w:eastAsiaTheme="minorEastAsia" w:cstheme="minorBidi"/>
          <w:spacing w:val="0"/>
          <w:sz w:val="24"/>
          <w:szCs w:val="24"/>
          <w:lang w:val="en-PH"/>
        </w:rPr>
        <w:t xml:space="preserve"> </w:t>
      </w:r>
    </w:p>
    <w:p w14:paraId="5FDFC77E" w14:textId="501904E4" w:rsidR="001070E7" w:rsidRPr="00C45D35" w:rsidRDefault="00C307DF">
      <w:pPr>
        <w:pStyle w:val="TOC1"/>
        <w:rPr>
          <w:rFonts w:eastAsiaTheme="minorEastAsia" w:cstheme="minorBidi"/>
          <w:spacing w:val="0"/>
          <w:sz w:val="24"/>
          <w:szCs w:val="24"/>
          <w:lang w:val="en-PH"/>
        </w:rPr>
      </w:pPr>
      <w:hyperlink w:anchor="_Toc50141430" w:history="1">
        <w:r w:rsidR="001070E7" w:rsidRPr="00C45D35">
          <w:rPr>
            <w:rStyle w:val="Hyperlink"/>
          </w:rPr>
          <w:t>Extension of the Period to Avail Tax Amnesty on Delinquencies</w:t>
        </w:r>
        <w:r w:rsidR="001070E7" w:rsidRPr="00C45D35">
          <w:rPr>
            <w:webHidden/>
          </w:rPr>
          <w:tab/>
        </w:r>
        <w:r w:rsidR="001070E7" w:rsidRPr="00C45D35">
          <w:rPr>
            <w:webHidden/>
          </w:rPr>
          <w:fldChar w:fldCharType="begin"/>
        </w:r>
        <w:r w:rsidR="001070E7" w:rsidRPr="00C45D35">
          <w:rPr>
            <w:webHidden/>
          </w:rPr>
          <w:instrText xml:space="preserve"> PAGEREF _Toc50141430 \h </w:instrText>
        </w:r>
        <w:r w:rsidR="001070E7" w:rsidRPr="00C45D35">
          <w:rPr>
            <w:webHidden/>
          </w:rPr>
        </w:r>
        <w:r w:rsidR="001070E7" w:rsidRPr="00C45D35">
          <w:rPr>
            <w:webHidden/>
          </w:rPr>
          <w:fldChar w:fldCharType="separate"/>
        </w:r>
        <w:r w:rsidR="00C972BC">
          <w:rPr>
            <w:webHidden/>
          </w:rPr>
          <w:t>5</w:t>
        </w:r>
        <w:r w:rsidR="001070E7" w:rsidRPr="00C45D35">
          <w:rPr>
            <w:webHidden/>
          </w:rPr>
          <w:fldChar w:fldCharType="end"/>
        </w:r>
      </w:hyperlink>
    </w:p>
    <w:p w14:paraId="26F52350" w14:textId="0A84D5D4" w:rsidR="001070E7" w:rsidRPr="00C45D35" w:rsidRDefault="00C307DF">
      <w:pPr>
        <w:pStyle w:val="TOC1"/>
        <w:rPr>
          <w:rFonts w:eastAsiaTheme="minorEastAsia" w:cstheme="minorBidi"/>
          <w:spacing w:val="0"/>
          <w:sz w:val="24"/>
          <w:szCs w:val="24"/>
          <w:lang w:val="en-PH"/>
        </w:rPr>
      </w:pPr>
      <w:hyperlink w:anchor="_Toc50141431" w:history="1">
        <w:r w:rsidR="001070E7" w:rsidRPr="00C45D35">
          <w:rPr>
            <w:rStyle w:val="Hyperlink"/>
            <w:shd w:val="clear" w:color="auto" w:fill="FFFFFF"/>
          </w:rPr>
          <w:t>Suspension of the due dates of processing the VAT refund/claim affected by the declaration of the national state of emergency</w:t>
        </w:r>
        <w:r w:rsidR="001070E7" w:rsidRPr="00C45D35">
          <w:rPr>
            <w:webHidden/>
          </w:rPr>
          <w:tab/>
        </w:r>
        <w:r w:rsidR="001070E7" w:rsidRPr="00C45D35">
          <w:rPr>
            <w:webHidden/>
          </w:rPr>
          <w:fldChar w:fldCharType="begin"/>
        </w:r>
        <w:r w:rsidR="001070E7" w:rsidRPr="00C45D35">
          <w:rPr>
            <w:webHidden/>
          </w:rPr>
          <w:instrText xml:space="preserve"> PAGEREF _Toc50141431 \h </w:instrText>
        </w:r>
        <w:r w:rsidR="001070E7" w:rsidRPr="00C45D35">
          <w:rPr>
            <w:webHidden/>
          </w:rPr>
        </w:r>
        <w:r w:rsidR="001070E7" w:rsidRPr="00C45D35">
          <w:rPr>
            <w:webHidden/>
          </w:rPr>
          <w:fldChar w:fldCharType="separate"/>
        </w:r>
        <w:r w:rsidR="00C972BC">
          <w:rPr>
            <w:webHidden/>
          </w:rPr>
          <w:t>6</w:t>
        </w:r>
        <w:r w:rsidR="001070E7" w:rsidRPr="00C45D35">
          <w:rPr>
            <w:webHidden/>
          </w:rPr>
          <w:fldChar w:fldCharType="end"/>
        </w:r>
      </w:hyperlink>
    </w:p>
    <w:p w14:paraId="2558752D" w14:textId="417B63A1" w:rsidR="001070E7" w:rsidRPr="00C45D35" w:rsidRDefault="00C307DF">
      <w:pPr>
        <w:pStyle w:val="TOC1"/>
        <w:rPr>
          <w:rFonts w:eastAsiaTheme="minorEastAsia" w:cstheme="minorBidi"/>
          <w:spacing w:val="0"/>
          <w:sz w:val="24"/>
          <w:szCs w:val="24"/>
          <w:lang w:val="en-PH"/>
        </w:rPr>
      </w:pPr>
      <w:hyperlink w:anchor="_Toc50141432" w:history="1">
        <w:r w:rsidR="001070E7" w:rsidRPr="00C45D35">
          <w:rPr>
            <w:rStyle w:val="Hyperlink"/>
          </w:rPr>
          <w:t>Tax Neutrality provision of Republic Act No. 11439 (An Act Providing for the Regulation and Organization of Islamic Banks)</w:t>
        </w:r>
        <w:r w:rsidR="001070E7" w:rsidRPr="00C45D35">
          <w:rPr>
            <w:webHidden/>
          </w:rPr>
          <w:tab/>
        </w:r>
        <w:r w:rsidR="001070E7" w:rsidRPr="00C45D35">
          <w:rPr>
            <w:webHidden/>
          </w:rPr>
          <w:fldChar w:fldCharType="begin"/>
        </w:r>
        <w:r w:rsidR="001070E7" w:rsidRPr="00C45D35">
          <w:rPr>
            <w:webHidden/>
          </w:rPr>
          <w:instrText xml:space="preserve"> PAGEREF _Toc50141432 \h </w:instrText>
        </w:r>
        <w:r w:rsidR="001070E7" w:rsidRPr="00C45D35">
          <w:rPr>
            <w:webHidden/>
          </w:rPr>
        </w:r>
        <w:r w:rsidR="001070E7" w:rsidRPr="00C45D35">
          <w:rPr>
            <w:webHidden/>
          </w:rPr>
          <w:fldChar w:fldCharType="separate"/>
        </w:r>
        <w:r w:rsidR="00C972BC">
          <w:rPr>
            <w:webHidden/>
          </w:rPr>
          <w:t>6</w:t>
        </w:r>
        <w:r w:rsidR="001070E7" w:rsidRPr="00C45D35">
          <w:rPr>
            <w:webHidden/>
          </w:rPr>
          <w:fldChar w:fldCharType="end"/>
        </w:r>
      </w:hyperlink>
    </w:p>
    <w:p w14:paraId="4D941344" w14:textId="2F24F6EB" w:rsidR="001070E7" w:rsidRPr="00C45D35" w:rsidRDefault="00C307DF">
      <w:pPr>
        <w:pStyle w:val="TOC1"/>
        <w:rPr>
          <w:rFonts w:eastAsiaTheme="minorEastAsia" w:cstheme="minorBidi"/>
          <w:spacing w:val="0"/>
          <w:sz w:val="24"/>
          <w:szCs w:val="24"/>
          <w:lang w:val="en-PH"/>
        </w:rPr>
      </w:pPr>
      <w:hyperlink w:anchor="_Toc50141433" w:history="1">
        <w:r w:rsidR="001070E7" w:rsidRPr="00C45D35">
          <w:rPr>
            <w:rStyle w:val="Hyperlink"/>
          </w:rPr>
          <w:t>VAT Exemption on the sales and importation of drugs and medicines prescribed for diabetes, high cholesterol, hypertension, cancer, mental illness, tuberculosis, and kidney diseases</w:t>
        </w:r>
        <w:r w:rsidR="001070E7" w:rsidRPr="00C45D35">
          <w:rPr>
            <w:webHidden/>
          </w:rPr>
          <w:tab/>
        </w:r>
        <w:r w:rsidR="001070E7" w:rsidRPr="00C45D35">
          <w:rPr>
            <w:webHidden/>
          </w:rPr>
          <w:fldChar w:fldCharType="begin"/>
        </w:r>
        <w:r w:rsidR="001070E7" w:rsidRPr="00C45D35">
          <w:rPr>
            <w:webHidden/>
          </w:rPr>
          <w:instrText xml:space="preserve"> PAGEREF _Toc50141433 \h </w:instrText>
        </w:r>
        <w:r w:rsidR="001070E7" w:rsidRPr="00C45D35">
          <w:rPr>
            <w:webHidden/>
          </w:rPr>
        </w:r>
        <w:r w:rsidR="001070E7" w:rsidRPr="00C45D35">
          <w:rPr>
            <w:webHidden/>
          </w:rPr>
          <w:fldChar w:fldCharType="separate"/>
        </w:r>
        <w:r w:rsidR="00C972BC">
          <w:rPr>
            <w:webHidden/>
          </w:rPr>
          <w:t>7</w:t>
        </w:r>
        <w:r w:rsidR="001070E7" w:rsidRPr="00C45D35">
          <w:rPr>
            <w:webHidden/>
          </w:rPr>
          <w:fldChar w:fldCharType="end"/>
        </w:r>
      </w:hyperlink>
    </w:p>
    <w:p w14:paraId="44B40253" w14:textId="2CE1FEAF" w:rsidR="001070E7" w:rsidRPr="00C45D35" w:rsidRDefault="00C307DF">
      <w:pPr>
        <w:pStyle w:val="TOC1"/>
        <w:rPr>
          <w:rFonts w:eastAsiaTheme="minorEastAsia" w:cstheme="minorBidi"/>
          <w:spacing w:val="0"/>
          <w:sz w:val="24"/>
          <w:szCs w:val="24"/>
          <w:lang w:val="en-PH"/>
        </w:rPr>
      </w:pPr>
      <w:hyperlink w:anchor="_Toc50141434" w:history="1">
        <w:r w:rsidR="001070E7" w:rsidRPr="00C45D35">
          <w:rPr>
            <w:rStyle w:val="Hyperlink"/>
          </w:rPr>
          <w:t>New BIR Form No. 1709 - Information Return on Transactions with Related Party (Domestic and/or Foreign)</w:t>
        </w:r>
        <w:r w:rsidR="001070E7" w:rsidRPr="00C45D35">
          <w:rPr>
            <w:webHidden/>
          </w:rPr>
          <w:tab/>
        </w:r>
        <w:r w:rsidR="001070E7" w:rsidRPr="00C45D35">
          <w:rPr>
            <w:webHidden/>
          </w:rPr>
          <w:fldChar w:fldCharType="begin"/>
        </w:r>
        <w:r w:rsidR="001070E7" w:rsidRPr="00C45D35">
          <w:rPr>
            <w:webHidden/>
          </w:rPr>
          <w:instrText xml:space="preserve"> PAGEREF _Toc50141434 \h </w:instrText>
        </w:r>
        <w:r w:rsidR="001070E7" w:rsidRPr="00C45D35">
          <w:rPr>
            <w:webHidden/>
          </w:rPr>
        </w:r>
        <w:r w:rsidR="001070E7" w:rsidRPr="00C45D35">
          <w:rPr>
            <w:webHidden/>
          </w:rPr>
          <w:fldChar w:fldCharType="separate"/>
        </w:r>
        <w:r w:rsidR="00C972BC">
          <w:rPr>
            <w:webHidden/>
          </w:rPr>
          <w:t>8</w:t>
        </w:r>
        <w:r w:rsidR="001070E7" w:rsidRPr="00C45D35">
          <w:rPr>
            <w:webHidden/>
          </w:rPr>
          <w:fldChar w:fldCharType="end"/>
        </w:r>
      </w:hyperlink>
    </w:p>
    <w:p w14:paraId="48CA1633" w14:textId="486E420C" w:rsidR="001070E7" w:rsidRPr="00C45D35" w:rsidRDefault="00C307DF">
      <w:pPr>
        <w:pStyle w:val="TOC1"/>
        <w:rPr>
          <w:rFonts w:eastAsiaTheme="minorEastAsia" w:cstheme="minorBidi"/>
          <w:spacing w:val="0"/>
          <w:sz w:val="24"/>
          <w:szCs w:val="24"/>
          <w:lang w:val="en-PH"/>
        </w:rPr>
      </w:pPr>
      <w:hyperlink w:anchor="_Toc50141435" w:history="1">
        <w:r w:rsidR="001070E7" w:rsidRPr="00C45D35">
          <w:rPr>
            <w:rStyle w:val="Hyperlink"/>
          </w:rPr>
          <w:t>Revenue Memorandum Circular (RMC)</w:t>
        </w:r>
      </w:hyperlink>
      <w:r w:rsidR="0043225F" w:rsidRPr="00C45D35">
        <w:rPr>
          <w:rFonts w:eastAsiaTheme="minorEastAsia" w:cstheme="minorBidi"/>
          <w:spacing w:val="0"/>
          <w:sz w:val="24"/>
          <w:szCs w:val="24"/>
          <w:lang w:val="en-PH"/>
        </w:rPr>
        <w:t xml:space="preserve"> </w:t>
      </w:r>
    </w:p>
    <w:p w14:paraId="0BC27986" w14:textId="7A6F121B" w:rsidR="001070E7" w:rsidRPr="00C45D35" w:rsidRDefault="00C307DF">
      <w:pPr>
        <w:pStyle w:val="TOC1"/>
        <w:rPr>
          <w:rFonts w:eastAsiaTheme="minorEastAsia" w:cstheme="minorBidi"/>
          <w:spacing w:val="0"/>
          <w:sz w:val="24"/>
          <w:szCs w:val="24"/>
          <w:lang w:val="en-PH"/>
        </w:rPr>
      </w:pPr>
      <w:hyperlink w:anchor="_Toc50141436" w:history="1">
        <w:r w:rsidR="001070E7" w:rsidRPr="00C45D35">
          <w:rPr>
            <w:rStyle w:val="Hyperlink"/>
          </w:rPr>
          <w:t>VAT Exempted Medicines for Diabetes, Cholesterol, and Hypertension</w:t>
        </w:r>
        <w:r w:rsidR="001070E7" w:rsidRPr="00C45D35">
          <w:rPr>
            <w:webHidden/>
          </w:rPr>
          <w:tab/>
        </w:r>
        <w:r w:rsidR="001070E7" w:rsidRPr="00C45D35">
          <w:rPr>
            <w:webHidden/>
          </w:rPr>
          <w:fldChar w:fldCharType="begin"/>
        </w:r>
        <w:r w:rsidR="001070E7" w:rsidRPr="00C45D35">
          <w:rPr>
            <w:webHidden/>
          </w:rPr>
          <w:instrText xml:space="preserve"> PAGEREF _Toc50141436 \h </w:instrText>
        </w:r>
        <w:r w:rsidR="001070E7" w:rsidRPr="00C45D35">
          <w:rPr>
            <w:webHidden/>
          </w:rPr>
        </w:r>
        <w:r w:rsidR="001070E7" w:rsidRPr="00C45D35">
          <w:rPr>
            <w:webHidden/>
          </w:rPr>
          <w:fldChar w:fldCharType="separate"/>
        </w:r>
        <w:r w:rsidR="00C972BC">
          <w:rPr>
            <w:webHidden/>
          </w:rPr>
          <w:t>9</w:t>
        </w:r>
        <w:r w:rsidR="001070E7" w:rsidRPr="00C45D35">
          <w:rPr>
            <w:webHidden/>
          </w:rPr>
          <w:fldChar w:fldCharType="end"/>
        </w:r>
      </w:hyperlink>
    </w:p>
    <w:p w14:paraId="3EBCB8BC" w14:textId="7CE2FE11" w:rsidR="001070E7" w:rsidRPr="00C45D35" w:rsidRDefault="00C307DF">
      <w:pPr>
        <w:pStyle w:val="TOC1"/>
        <w:rPr>
          <w:rFonts w:eastAsiaTheme="minorEastAsia" w:cstheme="minorBidi"/>
          <w:spacing w:val="0"/>
          <w:sz w:val="24"/>
          <w:szCs w:val="24"/>
          <w:lang w:val="en-PH"/>
        </w:rPr>
      </w:pPr>
      <w:hyperlink w:anchor="_Toc50141437" w:history="1">
        <w:r w:rsidR="001070E7" w:rsidRPr="00C45D35">
          <w:rPr>
            <w:rStyle w:val="Hyperlink"/>
          </w:rPr>
          <w:t>VAT Revised Requirements for POGO Licenses</w:t>
        </w:r>
        <w:r w:rsidR="001070E7" w:rsidRPr="00C45D35">
          <w:rPr>
            <w:webHidden/>
          </w:rPr>
          <w:tab/>
        </w:r>
        <w:r w:rsidR="001070E7" w:rsidRPr="00C45D35">
          <w:rPr>
            <w:webHidden/>
          </w:rPr>
          <w:fldChar w:fldCharType="begin"/>
        </w:r>
        <w:r w:rsidR="001070E7" w:rsidRPr="00C45D35">
          <w:rPr>
            <w:webHidden/>
          </w:rPr>
          <w:instrText xml:space="preserve"> PAGEREF _Toc50141437 \h </w:instrText>
        </w:r>
        <w:r w:rsidR="001070E7" w:rsidRPr="00C45D35">
          <w:rPr>
            <w:webHidden/>
          </w:rPr>
        </w:r>
        <w:r w:rsidR="001070E7" w:rsidRPr="00C45D35">
          <w:rPr>
            <w:webHidden/>
          </w:rPr>
          <w:fldChar w:fldCharType="separate"/>
        </w:r>
        <w:r w:rsidR="00C972BC">
          <w:rPr>
            <w:webHidden/>
          </w:rPr>
          <w:t>9</w:t>
        </w:r>
        <w:r w:rsidR="001070E7" w:rsidRPr="00C45D35">
          <w:rPr>
            <w:webHidden/>
          </w:rPr>
          <w:fldChar w:fldCharType="end"/>
        </w:r>
      </w:hyperlink>
    </w:p>
    <w:p w14:paraId="6907E0D5" w14:textId="4A146D6F" w:rsidR="001070E7" w:rsidRPr="00C45D35" w:rsidRDefault="00C307DF">
      <w:pPr>
        <w:pStyle w:val="TOC1"/>
        <w:rPr>
          <w:rFonts w:eastAsiaTheme="minorEastAsia" w:cstheme="minorBidi"/>
          <w:spacing w:val="0"/>
          <w:sz w:val="24"/>
          <w:szCs w:val="24"/>
          <w:lang w:val="en-PH"/>
        </w:rPr>
      </w:pPr>
      <w:hyperlink w:anchor="_Toc50141438" w:history="1">
        <w:r w:rsidR="001070E7" w:rsidRPr="00C45D35">
          <w:rPr>
            <w:rStyle w:val="Hyperlink"/>
          </w:rPr>
          <w:t>Revised procedures on the cancellation of Permit to Use (PTU) Cash Register Machines (CRM), Point-of-Sale (POS)</w:t>
        </w:r>
        <w:r w:rsidR="001070E7" w:rsidRPr="00C45D35">
          <w:rPr>
            <w:webHidden/>
          </w:rPr>
          <w:tab/>
        </w:r>
        <w:r w:rsidR="001070E7" w:rsidRPr="00C45D35">
          <w:rPr>
            <w:webHidden/>
          </w:rPr>
          <w:fldChar w:fldCharType="begin"/>
        </w:r>
        <w:r w:rsidR="001070E7" w:rsidRPr="00C45D35">
          <w:rPr>
            <w:webHidden/>
          </w:rPr>
          <w:instrText xml:space="preserve"> PAGEREF _Toc50141438 \h </w:instrText>
        </w:r>
        <w:r w:rsidR="001070E7" w:rsidRPr="00C45D35">
          <w:rPr>
            <w:webHidden/>
          </w:rPr>
        </w:r>
        <w:r w:rsidR="001070E7" w:rsidRPr="00C45D35">
          <w:rPr>
            <w:webHidden/>
          </w:rPr>
          <w:fldChar w:fldCharType="separate"/>
        </w:r>
        <w:r w:rsidR="00C972BC">
          <w:rPr>
            <w:webHidden/>
          </w:rPr>
          <w:t>9</w:t>
        </w:r>
        <w:r w:rsidR="001070E7" w:rsidRPr="00C45D35">
          <w:rPr>
            <w:webHidden/>
          </w:rPr>
          <w:fldChar w:fldCharType="end"/>
        </w:r>
      </w:hyperlink>
    </w:p>
    <w:p w14:paraId="6E4931BA" w14:textId="32A6DEE3" w:rsidR="001070E7" w:rsidRPr="00C45D35" w:rsidRDefault="00C307DF">
      <w:pPr>
        <w:pStyle w:val="TOC1"/>
        <w:rPr>
          <w:rFonts w:eastAsiaTheme="minorEastAsia" w:cstheme="minorBidi"/>
          <w:spacing w:val="0"/>
          <w:sz w:val="24"/>
          <w:szCs w:val="24"/>
          <w:lang w:val="en-PH"/>
        </w:rPr>
      </w:pPr>
      <w:hyperlink w:anchor="_Toc50141439" w:history="1">
        <w:r w:rsidR="001070E7" w:rsidRPr="00C45D35">
          <w:rPr>
            <w:rStyle w:val="Hyperlink"/>
          </w:rPr>
          <w:t>Revenue Memorandum Order (RMO)</w:t>
        </w:r>
      </w:hyperlink>
      <w:r w:rsidR="0043225F" w:rsidRPr="00C45D35">
        <w:rPr>
          <w:rFonts w:eastAsiaTheme="minorEastAsia" w:cstheme="minorBidi"/>
          <w:spacing w:val="0"/>
          <w:sz w:val="24"/>
          <w:szCs w:val="24"/>
          <w:lang w:val="en-PH"/>
        </w:rPr>
        <w:t xml:space="preserve"> </w:t>
      </w:r>
    </w:p>
    <w:p w14:paraId="0905B16C" w14:textId="3F9E072F" w:rsidR="001070E7" w:rsidRPr="00C45D35" w:rsidRDefault="00C307DF">
      <w:pPr>
        <w:pStyle w:val="TOC1"/>
        <w:rPr>
          <w:rFonts w:eastAsiaTheme="minorEastAsia" w:cstheme="minorBidi"/>
          <w:spacing w:val="0"/>
          <w:sz w:val="24"/>
          <w:szCs w:val="24"/>
          <w:lang w:val="en-PH"/>
        </w:rPr>
      </w:pPr>
      <w:hyperlink w:anchor="_Toc50141440" w:history="1">
        <w:r w:rsidR="001070E7" w:rsidRPr="00C45D35">
          <w:rPr>
            <w:rStyle w:val="Hyperlink"/>
          </w:rPr>
          <w:t>G</w:t>
        </w:r>
        <w:r w:rsidR="001070E7" w:rsidRPr="00C972BC">
          <w:rPr>
            <w:rStyle w:val="Hyperlink"/>
            <w:sz w:val="18"/>
            <w:szCs w:val="18"/>
          </w:rPr>
          <w:t>uidelines for destruction and disposal of inventory of goods/assets declared as waste or obsolete</w:t>
        </w:r>
        <w:r w:rsidR="001070E7" w:rsidRPr="0030054D">
          <w:rPr>
            <w:webHidden/>
          </w:rPr>
          <w:tab/>
        </w:r>
        <w:r w:rsidR="001070E7" w:rsidRPr="0030054D">
          <w:rPr>
            <w:webHidden/>
          </w:rPr>
          <w:fldChar w:fldCharType="begin"/>
        </w:r>
        <w:r w:rsidR="001070E7" w:rsidRPr="0030054D">
          <w:rPr>
            <w:webHidden/>
          </w:rPr>
          <w:instrText xml:space="preserve"> PAGEREF _Toc50141440 \h </w:instrText>
        </w:r>
        <w:r w:rsidR="001070E7" w:rsidRPr="0030054D">
          <w:rPr>
            <w:webHidden/>
          </w:rPr>
        </w:r>
        <w:r w:rsidR="001070E7" w:rsidRPr="0030054D">
          <w:rPr>
            <w:webHidden/>
          </w:rPr>
          <w:fldChar w:fldCharType="separate"/>
        </w:r>
        <w:r w:rsidR="00C972BC" w:rsidRPr="0030054D">
          <w:rPr>
            <w:webHidden/>
          </w:rPr>
          <w:t>10</w:t>
        </w:r>
        <w:r w:rsidR="001070E7" w:rsidRPr="0030054D">
          <w:rPr>
            <w:webHidden/>
          </w:rPr>
          <w:fldChar w:fldCharType="end"/>
        </w:r>
      </w:hyperlink>
    </w:p>
    <w:p w14:paraId="3A7431A9" w14:textId="4240FBF6" w:rsidR="001070E7" w:rsidRPr="00C45D35" w:rsidRDefault="00C307DF">
      <w:pPr>
        <w:pStyle w:val="TOC1"/>
        <w:rPr>
          <w:rFonts w:eastAsiaTheme="minorEastAsia" w:cstheme="minorBidi"/>
          <w:spacing w:val="0"/>
          <w:sz w:val="24"/>
          <w:szCs w:val="24"/>
          <w:lang w:val="en-PH"/>
        </w:rPr>
      </w:pPr>
      <w:hyperlink w:anchor="_Toc50141441" w:history="1">
        <w:r w:rsidR="001070E7" w:rsidRPr="00C45D35">
          <w:rPr>
            <w:rStyle w:val="Hyperlink"/>
            <w:b/>
            <w:bCs/>
          </w:rPr>
          <w:t>BUREAU OF CUSTOMS</w:t>
        </w:r>
      </w:hyperlink>
    </w:p>
    <w:p w14:paraId="16A1E76E" w14:textId="7AE442B5" w:rsidR="001070E7" w:rsidRPr="00C45D35" w:rsidRDefault="00C307DF">
      <w:pPr>
        <w:pStyle w:val="TOC1"/>
        <w:rPr>
          <w:rFonts w:eastAsiaTheme="minorEastAsia" w:cstheme="minorBidi"/>
          <w:spacing w:val="0"/>
          <w:sz w:val="24"/>
          <w:szCs w:val="24"/>
          <w:lang w:val="en-PH"/>
        </w:rPr>
      </w:pPr>
      <w:hyperlink w:anchor="_Toc50141442" w:history="1">
        <w:r w:rsidR="001070E7" w:rsidRPr="00C45D35">
          <w:rPr>
            <w:rStyle w:val="Hyperlink"/>
          </w:rPr>
          <w:t>Customs Administrative Orders (CAO)</w:t>
        </w:r>
      </w:hyperlink>
      <w:r w:rsidR="0043225F" w:rsidRPr="00C45D35">
        <w:rPr>
          <w:rFonts w:eastAsiaTheme="minorEastAsia" w:cstheme="minorBidi"/>
          <w:spacing w:val="0"/>
          <w:sz w:val="24"/>
          <w:szCs w:val="24"/>
          <w:lang w:val="en-PH"/>
        </w:rPr>
        <w:t xml:space="preserve"> </w:t>
      </w:r>
    </w:p>
    <w:p w14:paraId="5C3821EE" w14:textId="3A74AFA7" w:rsidR="001070E7" w:rsidRPr="00C45D35" w:rsidRDefault="00C307DF">
      <w:pPr>
        <w:pStyle w:val="TOC1"/>
        <w:rPr>
          <w:rFonts w:eastAsiaTheme="minorEastAsia" w:cstheme="minorBidi"/>
          <w:spacing w:val="0"/>
          <w:sz w:val="24"/>
          <w:szCs w:val="24"/>
          <w:lang w:val="en-PH"/>
        </w:rPr>
      </w:pPr>
      <w:hyperlink w:anchor="_Toc50141443" w:history="1">
        <w:r w:rsidR="001070E7" w:rsidRPr="00C45D35">
          <w:rPr>
            <w:rStyle w:val="Hyperlink"/>
          </w:rPr>
          <w:t>Appeal process for forfeiture proceedings</w:t>
        </w:r>
        <w:r w:rsidR="001070E7" w:rsidRPr="00C45D35">
          <w:rPr>
            <w:webHidden/>
          </w:rPr>
          <w:tab/>
        </w:r>
        <w:r w:rsidR="001070E7" w:rsidRPr="00C45D35">
          <w:rPr>
            <w:webHidden/>
          </w:rPr>
          <w:fldChar w:fldCharType="begin"/>
        </w:r>
        <w:r w:rsidR="001070E7" w:rsidRPr="00C45D35">
          <w:rPr>
            <w:webHidden/>
          </w:rPr>
          <w:instrText xml:space="preserve"> PAGEREF _Toc50141443 \h </w:instrText>
        </w:r>
        <w:r w:rsidR="001070E7" w:rsidRPr="00C45D35">
          <w:rPr>
            <w:webHidden/>
          </w:rPr>
        </w:r>
        <w:r w:rsidR="001070E7" w:rsidRPr="00C45D35">
          <w:rPr>
            <w:webHidden/>
          </w:rPr>
          <w:fldChar w:fldCharType="separate"/>
        </w:r>
        <w:r w:rsidR="00C972BC">
          <w:rPr>
            <w:webHidden/>
          </w:rPr>
          <w:t>11</w:t>
        </w:r>
        <w:r w:rsidR="001070E7" w:rsidRPr="00C45D35">
          <w:rPr>
            <w:webHidden/>
          </w:rPr>
          <w:fldChar w:fldCharType="end"/>
        </w:r>
      </w:hyperlink>
    </w:p>
    <w:p w14:paraId="707A7F6D" w14:textId="5EFBC3A5" w:rsidR="001070E7" w:rsidRPr="00C45D35" w:rsidRDefault="00C307DF">
      <w:pPr>
        <w:pStyle w:val="TOC1"/>
        <w:rPr>
          <w:rFonts w:eastAsiaTheme="minorEastAsia" w:cstheme="minorBidi"/>
          <w:spacing w:val="0"/>
          <w:sz w:val="24"/>
          <w:szCs w:val="24"/>
          <w:lang w:val="en-PH"/>
        </w:rPr>
      </w:pPr>
      <w:hyperlink w:anchor="_Toc50141444" w:history="1">
        <w:r w:rsidR="001070E7" w:rsidRPr="00C45D35">
          <w:rPr>
            <w:rStyle w:val="Hyperlink"/>
          </w:rPr>
          <w:t>Customs Memorandum Circulars (CMC)</w:t>
        </w:r>
      </w:hyperlink>
      <w:r w:rsidR="0043225F" w:rsidRPr="00C45D35">
        <w:rPr>
          <w:rFonts w:eastAsiaTheme="minorEastAsia" w:cstheme="minorBidi"/>
          <w:spacing w:val="0"/>
          <w:sz w:val="24"/>
          <w:szCs w:val="24"/>
          <w:lang w:val="en-PH"/>
        </w:rPr>
        <w:t xml:space="preserve"> </w:t>
      </w:r>
    </w:p>
    <w:p w14:paraId="26775BE1" w14:textId="202BDA19" w:rsidR="001070E7" w:rsidRPr="00C45D35" w:rsidRDefault="00C307DF">
      <w:pPr>
        <w:pStyle w:val="TOC1"/>
        <w:rPr>
          <w:rFonts w:eastAsiaTheme="minorEastAsia" w:cstheme="minorBidi"/>
          <w:spacing w:val="0"/>
          <w:sz w:val="24"/>
          <w:szCs w:val="24"/>
          <w:lang w:val="en-PH"/>
        </w:rPr>
      </w:pPr>
      <w:hyperlink w:anchor="_Toc50141445" w:history="1">
        <w:r w:rsidR="001070E7" w:rsidRPr="00C45D35">
          <w:rPr>
            <w:rStyle w:val="Hyperlink"/>
          </w:rPr>
          <w:t>Export authorization application process for trade of strategic goods</w:t>
        </w:r>
        <w:r w:rsidR="001070E7" w:rsidRPr="00C45D35">
          <w:rPr>
            <w:webHidden/>
          </w:rPr>
          <w:tab/>
        </w:r>
        <w:r w:rsidR="001070E7" w:rsidRPr="00C45D35">
          <w:rPr>
            <w:webHidden/>
          </w:rPr>
          <w:fldChar w:fldCharType="begin"/>
        </w:r>
        <w:r w:rsidR="001070E7" w:rsidRPr="00C45D35">
          <w:rPr>
            <w:webHidden/>
          </w:rPr>
          <w:instrText xml:space="preserve"> PAGEREF _Toc50141445 \h </w:instrText>
        </w:r>
        <w:r w:rsidR="001070E7" w:rsidRPr="00C45D35">
          <w:rPr>
            <w:webHidden/>
          </w:rPr>
        </w:r>
        <w:r w:rsidR="001070E7" w:rsidRPr="00C45D35">
          <w:rPr>
            <w:webHidden/>
          </w:rPr>
          <w:fldChar w:fldCharType="separate"/>
        </w:r>
        <w:r w:rsidR="00C972BC">
          <w:rPr>
            <w:webHidden/>
          </w:rPr>
          <w:t>11</w:t>
        </w:r>
        <w:r w:rsidR="001070E7" w:rsidRPr="00C45D35">
          <w:rPr>
            <w:webHidden/>
          </w:rPr>
          <w:fldChar w:fldCharType="end"/>
        </w:r>
      </w:hyperlink>
    </w:p>
    <w:p w14:paraId="4C0C9424" w14:textId="77A0F4BE" w:rsidR="001070E7" w:rsidRPr="00C45D35" w:rsidRDefault="00C307DF">
      <w:pPr>
        <w:pStyle w:val="TOC1"/>
        <w:rPr>
          <w:rFonts w:eastAsiaTheme="minorEastAsia" w:cstheme="minorBidi"/>
          <w:spacing w:val="0"/>
          <w:sz w:val="24"/>
          <w:szCs w:val="24"/>
          <w:lang w:val="en-PH"/>
        </w:rPr>
      </w:pPr>
      <w:hyperlink w:anchor="_Toc50141446" w:history="1">
        <w:r w:rsidR="001070E7" w:rsidRPr="00C45D35">
          <w:rPr>
            <w:rStyle w:val="Hyperlink"/>
          </w:rPr>
          <w:t>Guidelines on importation of shipments containing Mercury, Mercury-compounds, and Mercury-added products</w:t>
        </w:r>
        <w:r w:rsidR="001070E7" w:rsidRPr="00C45D35">
          <w:rPr>
            <w:webHidden/>
          </w:rPr>
          <w:tab/>
        </w:r>
        <w:r w:rsidR="001070E7" w:rsidRPr="00C45D35">
          <w:rPr>
            <w:webHidden/>
          </w:rPr>
          <w:fldChar w:fldCharType="begin"/>
        </w:r>
        <w:r w:rsidR="001070E7" w:rsidRPr="00C45D35">
          <w:rPr>
            <w:webHidden/>
          </w:rPr>
          <w:instrText xml:space="preserve"> PAGEREF _Toc50141446 \h </w:instrText>
        </w:r>
        <w:r w:rsidR="001070E7" w:rsidRPr="00C45D35">
          <w:rPr>
            <w:webHidden/>
          </w:rPr>
        </w:r>
        <w:r w:rsidR="001070E7" w:rsidRPr="00C45D35">
          <w:rPr>
            <w:webHidden/>
          </w:rPr>
          <w:fldChar w:fldCharType="separate"/>
        </w:r>
        <w:r w:rsidR="00C972BC">
          <w:rPr>
            <w:webHidden/>
          </w:rPr>
          <w:t>11</w:t>
        </w:r>
        <w:r w:rsidR="001070E7" w:rsidRPr="00C45D35">
          <w:rPr>
            <w:webHidden/>
          </w:rPr>
          <w:fldChar w:fldCharType="end"/>
        </w:r>
      </w:hyperlink>
    </w:p>
    <w:p w14:paraId="199BF4E9" w14:textId="4C0121C5" w:rsidR="001070E7" w:rsidRPr="00C45D35" w:rsidRDefault="00C307DF">
      <w:pPr>
        <w:pStyle w:val="TOC1"/>
        <w:rPr>
          <w:rFonts w:eastAsiaTheme="minorEastAsia" w:cstheme="minorBidi"/>
          <w:spacing w:val="0"/>
          <w:sz w:val="24"/>
          <w:szCs w:val="24"/>
          <w:lang w:val="en-PH"/>
        </w:rPr>
      </w:pPr>
      <w:hyperlink w:anchor="_Toc50141447" w:history="1">
        <w:r w:rsidR="001070E7" w:rsidRPr="00C45D35">
          <w:rPr>
            <w:rStyle w:val="Hyperlink"/>
          </w:rPr>
          <w:t>Customs Memorandum Orders (CMO)</w:t>
        </w:r>
      </w:hyperlink>
      <w:r w:rsidR="0043225F" w:rsidRPr="00C45D35">
        <w:rPr>
          <w:rFonts w:eastAsiaTheme="minorEastAsia" w:cstheme="minorBidi"/>
          <w:spacing w:val="0"/>
          <w:sz w:val="24"/>
          <w:szCs w:val="24"/>
          <w:lang w:val="en-PH"/>
        </w:rPr>
        <w:t xml:space="preserve"> </w:t>
      </w:r>
    </w:p>
    <w:p w14:paraId="0F0F3B3B" w14:textId="26EC35DE" w:rsidR="001070E7" w:rsidRPr="00C45D35" w:rsidRDefault="00C307DF">
      <w:pPr>
        <w:pStyle w:val="TOC1"/>
        <w:rPr>
          <w:rFonts w:eastAsiaTheme="minorEastAsia" w:cstheme="minorBidi"/>
          <w:spacing w:val="0"/>
          <w:sz w:val="24"/>
          <w:szCs w:val="24"/>
          <w:lang w:val="en-PH"/>
        </w:rPr>
      </w:pPr>
      <w:hyperlink w:anchor="_Toc50141448" w:history="1">
        <w:r w:rsidR="001070E7" w:rsidRPr="00C45D35">
          <w:rPr>
            <w:rStyle w:val="Hyperlink"/>
          </w:rPr>
          <w:t>Implementation of enhanced Value Reference Information System (e-VRIS) in the BOC’s electronic to mobile (E2M) system</w:t>
        </w:r>
        <w:r w:rsidR="001070E7" w:rsidRPr="00C45D35">
          <w:rPr>
            <w:webHidden/>
          </w:rPr>
          <w:tab/>
        </w:r>
        <w:r w:rsidR="001070E7" w:rsidRPr="00C45D35">
          <w:rPr>
            <w:webHidden/>
          </w:rPr>
          <w:fldChar w:fldCharType="begin"/>
        </w:r>
        <w:r w:rsidR="001070E7" w:rsidRPr="00C45D35">
          <w:rPr>
            <w:webHidden/>
          </w:rPr>
          <w:instrText xml:space="preserve"> PAGEREF _Toc50141448 \h </w:instrText>
        </w:r>
        <w:r w:rsidR="001070E7" w:rsidRPr="00C45D35">
          <w:rPr>
            <w:webHidden/>
          </w:rPr>
        </w:r>
        <w:r w:rsidR="001070E7" w:rsidRPr="00C45D35">
          <w:rPr>
            <w:webHidden/>
          </w:rPr>
          <w:fldChar w:fldCharType="separate"/>
        </w:r>
        <w:r w:rsidR="00C972BC">
          <w:rPr>
            <w:webHidden/>
          </w:rPr>
          <w:t>11</w:t>
        </w:r>
        <w:r w:rsidR="001070E7" w:rsidRPr="00C45D35">
          <w:rPr>
            <w:webHidden/>
          </w:rPr>
          <w:fldChar w:fldCharType="end"/>
        </w:r>
      </w:hyperlink>
    </w:p>
    <w:p w14:paraId="565FFCD5" w14:textId="627968D7" w:rsidR="001070E7" w:rsidRPr="00C45D35" w:rsidRDefault="00C307DF">
      <w:pPr>
        <w:pStyle w:val="TOC1"/>
        <w:rPr>
          <w:rFonts w:eastAsiaTheme="minorEastAsia" w:cstheme="minorBidi"/>
          <w:spacing w:val="0"/>
          <w:sz w:val="24"/>
          <w:szCs w:val="24"/>
          <w:lang w:val="en-PH"/>
        </w:rPr>
      </w:pPr>
      <w:hyperlink w:anchor="_Toc50141449" w:history="1">
        <w:r w:rsidR="001070E7" w:rsidRPr="00C45D35">
          <w:rPr>
            <w:rStyle w:val="Hyperlink"/>
          </w:rPr>
          <w:t>Other BOC issuances</w:t>
        </w:r>
      </w:hyperlink>
    </w:p>
    <w:p w14:paraId="3B734C46" w14:textId="2D820B7B" w:rsidR="001070E7" w:rsidRPr="00C45D35" w:rsidRDefault="00C307DF">
      <w:pPr>
        <w:pStyle w:val="TOC1"/>
        <w:rPr>
          <w:rFonts w:eastAsiaTheme="minorEastAsia" w:cstheme="minorBidi"/>
          <w:spacing w:val="0"/>
          <w:sz w:val="24"/>
          <w:szCs w:val="24"/>
          <w:lang w:val="en-PH"/>
        </w:rPr>
      </w:pPr>
      <w:hyperlink w:anchor="_Toc50141450" w:history="1">
        <w:r w:rsidR="001070E7" w:rsidRPr="00C45D35">
          <w:rPr>
            <w:rStyle w:val="Hyperlink"/>
            <w:rFonts w:cs="Times New Roman"/>
          </w:rPr>
          <w:t>Office of the Commissioner (OCOM) Memo No. 128-2020</w:t>
        </w:r>
        <w:r w:rsidR="001070E7" w:rsidRPr="00C45D35">
          <w:rPr>
            <w:webHidden/>
          </w:rPr>
          <w:tab/>
        </w:r>
        <w:r w:rsidR="001070E7" w:rsidRPr="00C45D35">
          <w:rPr>
            <w:webHidden/>
          </w:rPr>
          <w:fldChar w:fldCharType="begin"/>
        </w:r>
        <w:r w:rsidR="001070E7" w:rsidRPr="00C45D35">
          <w:rPr>
            <w:webHidden/>
          </w:rPr>
          <w:instrText xml:space="preserve"> PAGEREF _Toc50141450 \h </w:instrText>
        </w:r>
        <w:r w:rsidR="001070E7" w:rsidRPr="00C45D35">
          <w:rPr>
            <w:webHidden/>
          </w:rPr>
        </w:r>
        <w:r w:rsidR="001070E7" w:rsidRPr="00C45D35">
          <w:rPr>
            <w:webHidden/>
          </w:rPr>
          <w:fldChar w:fldCharType="separate"/>
        </w:r>
        <w:r w:rsidR="00C972BC">
          <w:rPr>
            <w:webHidden/>
          </w:rPr>
          <w:t>12</w:t>
        </w:r>
        <w:r w:rsidR="001070E7" w:rsidRPr="00C45D35">
          <w:rPr>
            <w:webHidden/>
          </w:rPr>
          <w:fldChar w:fldCharType="end"/>
        </w:r>
      </w:hyperlink>
    </w:p>
    <w:p w14:paraId="5141EB8D" w14:textId="30A2D67B" w:rsidR="001070E7" w:rsidRPr="00C45D35" w:rsidRDefault="00C307DF">
      <w:pPr>
        <w:pStyle w:val="TOC1"/>
        <w:rPr>
          <w:rFonts w:eastAsiaTheme="minorEastAsia" w:cstheme="minorBidi"/>
          <w:spacing w:val="0"/>
          <w:sz w:val="24"/>
          <w:szCs w:val="24"/>
          <w:lang w:val="en-PH"/>
        </w:rPr>
      </w:pPr>
      <w:hyperlink w:anchor="_Toc50141451" w:history="1">
        <w:r w:rsidR="001070E7" w:rsidRPr="00C45D35">
          <w:rPr>
            <w:rStyle w:val="Hyperlink"/>
          </w:rPr>
          <w:t>Office of the Commissioner (OCOM) Memo No. 129-2020</w:t>
        </w:r>
        <w:r w:rsidR="001070E7" w:rsidRPr="00C45D35">
          <w:rPr>
            <w:webHidden/>
          </w:rPr>
          <w:tab/>
        </w:r>
        <w:r w:rsidR="001070E7" w:rsidRPr="00C45D35">
          <w:rPr>
            <w:webHidden/>
          </w:rPr>
          <w:fldChar w:fldCharType="begin"/>
        </w:r>
        <w:r w:rsidR="001070E7" w:rsidRPr="00C45D35">
          <w:rPr>
            <w:webHidden/>
          </w:rPr>
          <w:instrText xml:space="preserve"> PAGEREF _Toc50141451 \h </w:instrText>
        </w:r>
        <w:r w:rsidR="001070E7" w:rsidRPr="00C45D35">
          <w:rPr>
            <w:webHidden/>
          </w:rPr>
        </w:r>
        <w:r w:rsidR="001070E7" w:rsidRPr="00C45D35">
          <w:rPr>
            <w:webHidden/>
          </w:rPr>
          <w:fldChar w:fldCharType="separate"/>
        </w:r>
        <w:r w:rsidR="00C972BC">
          <w:rPr>
            <w:webHidden/>
          </w:rPr>
          <w:t>12</w:t>
        </w:r>
        <w:r w:rsidR="001070E7" w:rsidRPr="00C45D35">
          <w:rPr>
            <w:webHidden/>
          </w:rPr>
          <w:fldChar w:fldCharType="end"/>
        </w:r>
      </w:hyperlink>
    </w:p>
    <w:p w14:paraId="68F65D0E" w14:textId="55963501" w:rsidR="001070E7" w:rsidRPr="00C45D35" w:rsidRDefault="00C307DF">
      <w:pPr>
        <w:pStyle w:val="TOC1"/>
        <w:rPr>
          <w:rFonts w:eastAsiaTheme="minorEastAsia" w:cstheme="minorBidi"/>
          <w:spacing w:val="0"/>
          <w:sz w:val="24"/>
          <w:szCs w:val="24"/>
          <w:lang w:val="en-PH"/>
        </w:rPr>
      </w:pPr>
      <w:hyperlink w:anchor="_Toc50141452" w:history="1">
        <w:r w:rsidR="001070E7" w:rsidRPr="00C45D35">
          <w:rPr>
            <w:rStyle w:val="Hyperlink"/>
            <w:rFonts w:cs="Times New Roman"/>
          </w:rPr>
          <w:t>Office of the Commissioner (OCOM) Memo No. 139-2020</w:t>
        </w:r>
        <w:r w:rsidR="001070E7" w:rsidRPr="00C45D35">
          <w:rPr>
            <w:webHidden/>
          </w:rPr>
          <w:tab/>
        </w:r>
        <w:r w:rsidR="001070E7" w:rsidRPr="00C45D35">
          <w:rPr>
            <w:webHidden/>
          </w:rPr>
          <w:fldChar w:fldCharType="begin"/>
        </w:r>
        <w:r w:rsidR="001070E7" w:rsidRPr="00C45D35">
          <w:rPr>
            <w:webHidden/>
          </w:rPr>
          <w:instrText xml:space="preserve"> PAGEREF _Toc50141452 \h </w:instrText>
        </w:r>
        <w:r w:rsidR="001070E7" w:rsidRPr="00C45D35">
          <w:rPr>
            <w:webHidden/>
          </w:rPr>
        </w:r>
        <w:r w:rsidR="001070E7" w:rsidRPr="00C45D35">
          <w:rPr>
            <w:webHidden/>
          </w:rPr>
          <w:fldChar w:fldCharType="separate"/>
        </w:r>
        <w:r w:rsidR="00C972BC">
          <w:rPr>
            <w:webHidden/>
          </w:rPr>
          <w:t>12</w:t>
        </w:r>
        <w:r w:rsidR="001070E7" w:rsidRPr="00C45D35">
          <w:rPr>
            <w:webHidden/>
          </w:rPr>
          <w:fldChar w:fldCharType="end"/>
        </w:r>
      </w:hyperlink>
    </w:p>
    <w:p w14:paraId="4E5CE450" w14:textId="341DA3DE" w:rsidR="001070E7" w:rsidRPr="00C45D35" w:rsidRDefault="00C307DF">
      <w:pPr>
        <w:pStyle w:val="TOC1"/>
        <w:rPr>
          <w:rFonts w:eastAsiaTheme="minorEastAsia" w:cstheme="minorBidi"/>
          <w:spacing w:val="0"/>
          <w:sz w:val="24"/>
          <w:szCs w:val="24"/>
          <w:lang w:val="en-PH"/>
        </w:rPr>
      </w:pPr>
      <w:hyperlink w:anchor="_Toc50141453" w:history="1">
        <w:r w:rsidR="001070E7" w:rsidRPr="00C45D35">
          <w:rPr>
            <w:rStyle w:val="Hyperlink"/>
            <w:rFonts w:cs="Times New Roman"/>
          </w:rPr>
          <w:t>Assessment and Operations Coordinating Group (AOCG) Memo No. 91-2020</w:t>
        </w:r>
        <w:r w:rsidR="001070E7" w:rsidRPr="00C45D35">
          <w:rPr>
            <w:webHidden/>
          </w:rPr>
          <w:tab/>
        </w:r>
        <w:r w:rsidR="001070E7" w:rsidRPr="00C45D35">
          <w:rPr>
            <w:webHidden/>
          </w:rPr>
          <w:fldChar w:fldCharType="begin"/>
        </w:r>
        <w:r w:rsidR="001070E7" w:rsidRPr="00C45D35">
          <w:rPr>
            <w:webHidden/>
          </w:rPr>
          <w:instrText xml:space="preserve"> PAGEREF _Toc50141453 \h </w:instrText>
        </w:r>
        <w:r w:rsidR="001070E7" w:rsidRPr="00C45D35">
          <w:rPr>
            <w:webHidden/>
          </w:rPr>
        </w:r>
        <w:r w:rsidR="001070E7" w:rsidRPr="00C45D35">
          <w:rPr>
            <w:webHidden/>
          </w:rPr>
          <w:fldChar w:fldCharType="separate"/>
        </w:r>
        <w:r w:rsidR="00C972BC">
          <w:rPr>
            <w:webHidden/>
          </w:rPr>
          <w:t>12</w:t>
        </w:r>
        <w:r w:rsidR="001070E7" w:rsidRPr="00C45D35">
          <w:rPr>
            <w:webHidden/>
          </w:rPr>
          <w:fldChar w:fldCharType="end"/>
        </w:r>
      </w:hyperlink>
    </w:p>
    <w:p w14:paraId="5CAF9F10" w14:textId="10AF8A8C" w:rsidR="001070E7" w:rsidRPr="00C45D35" w:rsidRDefault="00C307DF">
      <w:pPr>
        <w:pStyle w:val="TOC1"/>
        <w:rPr>
          <w:rFonts w:eastAsiaTheme="minorEastAsia" w:cstheme="minorBidi"/>
          <w:b/>
          <w:bCs/>
          <w:spacing w:val="0"/>
          <w:sz w:val="24"/>
          <w:szCs w:val="24"/>
          <w:lang w:val="en-PH"/>
        </w:rPr>
      </w:pPr>
      <w:hyperlink w:anchor="_Toc50141454" w:history="1">
        <w:r w:rsidR="001070E7" w:rsidRPr="00C45D35">
          <w:rPr>
            <w:rStyle w:val="Hyperlink"/>
            <w:b/>
            <w:bCs/>
          </w:rPr>
          <w:t>SECURITIES AND EXCHANGE COMMISSION</w:t>
        </w:r>
      </w:hyperlink>
    </w:p>
    <w:p w14:paraId="58760606" w14:textId="5B78DDB5" w:rsidR="001070E7" w:rsidRPr="00C45D35" w:rsidRDefault="00C307DF">
      <w:pPr>
        <w:pStyle w:val="TOC1"/>
        <w:rPr>
          <w:rFonts w:eastAsiaTheme="minorEastAsia" w:cstheme="minorBidi"/>
          <w:spacing w:val="0"/>
          <w:sz w:val="24"/>
          <w:szCs w:val="24"/>
          <w:lang w:val="en-PH"/>
        </w:rPr>
      </w:pPr>
      <w:hyperlink w:anchor="_Toc50141455" w:history="1">
        <w:r w:rsidR="001070E7" w:rsidRPr="00C45D35">
          <w:rPr>
            <w:rStyle w:val="Hyperlink"/>
          </w:rPr>
          <w:t>Options for the Submission of Reports, Applications and Other Documents During the Effectivity of all Community Quarantine Imposed Due to Covid-19</w:t>
        </w:r>
        <w:r w:rsidR="001070E7" w:rsidRPr="00C45D35">
          <w:rPr>
            <w:webHidden/>
          </w:rPr>
          <w:tab/>
        </w:r>
        <w:r w:rsidR="001070E7" w:rsidRPr="00C45D35">
          <w:rPr>
            <w:webHidden/>
          </w:rPr>
          <w:fldChar w:fldCharType="begin"/>
        </w:r>
        <w:r w:rsidR="001070E7" w:rsidRPr="00C45D35">
          <w:rPr>
            <w:webHidden/>
          </w:rPr>
          <w:instrText xml:space="preserve"> PAGEREF _Toc50141455 \h </w:instrText>
        </w:r>
        <w:r w:rsidR="001070E7" w:rsidRPr="00C45D35">
          <w:rPr>
            <w:webHidden/>
          </w:rPr>
        </w:r>
        <w:r w:rsidR="001070E7" w:rsidRPr="00C45D35">
          <w:rPr>
            <w:webHidden/>
          </w:rPr>
          <w:fldChar w:fldCharType="separate"/>
        </w:r>
        <w:r w:rsidR="00C972BC">
          <w:rPr>
            <w:webHidden/>
          </w:rPr>
          <w:t>12</w:t>
        </w:r>
        <w:r w:rsidR="001070E7" w:rsidRPr="00C45D35">
          <w:rPr>
            <w:webHidden/>
          </w:rPr>
          <w:fldChar w:fldCharType="end"/>
        </w:r>
      </w:hyperlink>
    </w:p>
    <w:p w14:paraId="42D1EC85" w14:textId="2287E43C" w:rsidR="001070E7" w:rsidRPr="00C45D35" w:rsidRDefault="00C307DF">
      <w:pPr>
        <w:pStyle w:val="TOC1"/>
        <w:rPr>
          <w:rFonts w:eastAsiaTheme="minorEastAsia" w:cstheme="minorBidi"/>
          <w:spacing w:val="0"/>
          <w:sz w:val="24"/>
          <w:szCs w:val="24"/>
          <w:lang w:val="en-PH"/>
        </w:rPr>
      </w:pPr>
      <w:hyperlink w:anchor="_Toc50141456" w:history="1">
        <w:r w:rsidR="001070E7" w:rsidRPr="00C45D35">
          <w:rPr>
            <w:rStyle w:val="Hyperlink"/>
          </w:rPr>
          <w:t>Reglementary periods in the filing of petitions, appeals, motions, and other pleadings</w:t>
        </w:r>
        <w:r w:rsidR="001070E7" w:rsidRPr="00C45D35">
          <w:rPr>
            <w:webHidden/>
          </w:rPr>
          <w:tab/>
        </w:r>
        <w:r w:rsidR="001070E7" w:rsidRPr="00C45D35">
          <w:rPr>
            <w:webHidden/>
          </w:rPr>
          <w:fldChar w:fldCharType="begin"/>
        </w:r>
        <w:r w:rsidR="001070E7" w:rsidRPr="00C45D35">
          <w:rPr>
            <w:webHidden/>
          </w:rPr>
          <w:instrText xml:space="preserve"> PAGEREF _Toc50141456 \h </w:instrText>
        </w:r>
        <w:r w:rsidR="001070E7" w:rsidRPr="00C45D35">
          <w:rPr>
            <w:webHidden/>
          </w:rPr>
        </w:r>
        <w:r w:rsidR="001070E7" w:rsidRPr="00C45D35">
          <w:rPr>
            <w:webHidden/>
          </w:rPr>
          <w:fldChar w:fldCharType="separate"/>
        </w:r>
        <w:r w:rsidR="00C972BC">
          <w:rPr>
            <w:webHidden/>
          </w:rPr>
          <w:t>14</w:t>
        </w:r>
        <w:r w:rsidR="001070E7" w:rsidRPr="00C45D35">
          <w:rPr>
            <w:webHidden/>
          </w:rPr>
          <w:fldChar w:fldCharType="end"/>
        </w:r>
      </w:hyperlink>
    </w:p>
    <w:p w14:paraId="426347D6" w14:textId="6310FD54" w:rsidR="006E7AC7" w:rsidRPr="00871CF0" w:rsidRDefault="005826E0" w:rsidP="00E03F52">
      <w:pPr>
        <w:pStyle w:val="Heading1"/>
        <w:rPr>
          <w:rFonts w:asciiTheme="minorHAnsi" w:hAnsiTheme="minorHAnsi"/>
          <w:color w:val="ED7D31" w:themeColor="accent2"/>
          <w:sz w:val="24"/>
          <w:szCs w:val="24"/>
        </w:rPr>
      </w:pPr>
      <w:r w:rsidRPr="007C33E8">
        <w:rPr>
          <w:rFonts w:ascii="Georgia" w:hAnsi="Georgia"/>
          <w:color w:val="ED7D31" w:themeColor="accent2"/>
          <w:sz w:val="20"/>
          <w:szCs w:val="20"/>
        </w:rPr>
        <w:fldChar w:fldCharType="end"/>
      </w:r>
    </w:p>
    <w:p w14:paraId="37F48CF3" w14:textId="42E4D9DD" w:rsidR="00A039C9" w:rsidRPr="008F0A37" w:rsidRDefault="00A039C9" w:rsidP="00A039C9"/>
    <w:p w14:paraId="4D81C0CD" w14:textId="4E52BE78" w:rsidR="00A039C9" w:rsidRDefault="00A039C9" w:rsidP="00A039C9"/>
    <w:p w14:paraId="5761E77F" w14:textId="61FACE2C" w:rsidR="003F4D0B" w:rsidRDefault="003F4D0B" w:rsidP="00A039C9"/>
    <w:p w14:paraId="6DC4626C" w14:textId="2200AD6A" w:rsidR="003F4D0B" w:rsidRDefault="003F4D0B" w:rsidP="00A039C9"/>
    <w:p w14:paraId="0F098FCE" w14:textId="7CDE9292" w:rsidR="003F4D0B" w:rsidRDefault="003F4D0B" w:rsidP="00A039C9"/>
    <w:p w14:paraId="01A9E8D9" w14:textId="6E567F68" w:rsidR="003F4D0B" w:rsidRDefault="003F4D0B" w:rsidP="00A039C9"/>
    <w:p w14:paraId="0762A9EE" w14:textId="6F1DB2C0" w:rsidR="003F4D0B" w:rsidRDefault="003F4D0B" w:rsidP="00A039C9"/>
    <w:p w14:paraId="615F5ECB" w14:textId="2610EA08" w:rsidR="003F4D0B" w:rsidRPr="008F0A37" w:rsidRDefault="007468BB" w:rsidP="007468BB">
      <w:pPr>
        <w:tabs>
          <w:tab w:val="left" w:pos="7418"/>
        </w:tabs>
      </w:pPr>
      <w:r>
        <w:tab/>
      </w:r>
    </w:p>
    <w:p w14:paraId="5A5D7486" w14:textId="76177956" w:rsidR="00A039C9" w:rsidRPr="008F0A37" w:rsidRDefault="00A039C9" w:rsidP="00A039C9"/>
    <w:p w14:paraId="2B389D33" w14:textId="3417657F" w:rsidR="00B0060C" w:rsidRPr="008F0A37" w:rsidRDefault="00B0060C" w:rsidP="00A039C9"/>
    <w:p w14:paraId="57A614F6" w14:textId="35113A5B" w:rsidR="00B0060C" w:rsidRPr="008F0A37" w:rsidRDefault="00B0060C" w:rsidP="00A039C9"/>
    <w:p w14:paraId="39779AE8" w14:textId="40C25C55" w:rsidR="00B0060C" w:rsidRPr="008F0A37" w:rsidRDefault="00B0060C" w:rsidP="00A039C9"/>
    <w:p w14:paraId="5DA84FBA" w14:textId="6AAEDA0A" w:rsidR="00B0060C" w:rsidRDefault="00B0060C" w:rsidP="00A039C9"/>
    <w:p w14:paraId="50EFAC24" w14:textId="15ABBA3F" w:rsidR="003F4D0B" w:rsidRDefault="003F4D0B" w:rsidP="00A039C9"/>
    <w:p w14:paraId="7814BC34" w14:textId="4E85155E" w:rsidR="003F4D0B" w:rsidRDefault="003F4D0B" w:rsidP="00A039C9"/>
    <w:p w14:paraId="6291A85D" w14:textId="08F4E33C" w:rsidR="003F4D0B" w:rsidRDefault="003F4D0B" w:rsidP="00A039C9"/>
    <w:p w14:paraId="35BE3A68" w14:textId="5DD377CE" w:rsidR="003F4D0B" w:rsidRDefault="003F4D0B" w:rsidP="00A039C9"/>
    <w:p w14:paraId="14FD42D0" w14:textId="5437D994" w:rsidR="00DF427C" w:rsidRPr="007C33E8" w:rsidRDefault="00DF427C" w:rsidP="007C33E8">
      <w:pPr>
        <w:pStyle w:val="Heading1"/>
        <w:ind w:left="-567" w:right="-563"/>
        <w:rPr>
          <w:rFonts w:ascii="Arial" w:hAnsi="Arial" w:cs="Arial"/>
          <w:b/>
          <w:bCs/>
          <w:color w:val="C45911" w:themeColor="accent2" w:themeShade="BF"/>
          <w:sz w:val="24"/>
          <w:szCs w:val="24"/>
        </w:rPr>
      </w:pPr>
      <w:bookmarkStart w:id="0" w:name="_Toc50141418"/>
      <w:r w:rsidRPr="007C33E8">
        <w:rPr>
          <w:rFonts w:ascii="Arial" w:hAnsi="Arial" w:cs="Arial"/>
          <w:b/>
          <w:bCs/>
          <w:color w:val="C45911" w:themeColor="accent2" w:themeShade="BF"/>
          <w:sz w:val="24"/>
          <w:szCs w:val="24"/>
        </w:rPr>
        <w:lastRenderedPageBreak/>
        <w:t>SUPREME COURT DECISIONS</w:t>
      </w:r>
      <w:bookmarkEnd w:id="0"/>
    </w:p>
    <w:p w14:paraId="652BEB05" w14:textId="10851D23" w:rsidR="001C4C91" w:rsidRPr="00871CF0" w:rsidRDefault="001C4C91" w:rsidP="007C33E8">
      <w:pPr>
        <w:pStyle w:val="Heading1"/>
        <w:ind w:left="-567" w:right="-563"/>
        <w:jc w:val="both"/>
        <w:rPr>
          <w:color w:val="C45911" w:themeColor="accent2" w:themeShade="BF"/>
        </w:rPr>
      </w:pPr>
      <w:bookmarkStart w:id="1" w:name="_Toc50141419"/>
      <w:r w:rsidRPr="00871CF0">
        <w:rPr>
          <w:rFonts w:asciiTheme="minorHAnsi" w:hAnsiTheme="minorHAnsi"/>
          <w:color w:val="C45911" w:themeColor="accent2" w:themeShade="BF"/>
          <w:sz w:val="24"/>
          <w:szCs w:val="24"/>
        </w:rPr>
        <w:t xml:space="preserve">An owner of real property is not liable for real property taxes that accrued prior to </w:t>
      </w:r>
      <w:r w:rsidR="00223F10">
        <w:rPr>
          <w:rFonts w:asciiTheme="minorHAnsi" w:hAnsiTheme="minorHAnsi"/>
          <w:color w:val="C45911" w:themeColor="accent2" w:themeShade="BF"/>
          <w:sz w:val="24"/>
          <w:szCs w:val="24"/>
        </w:rPr>
        <w:t>the</w:t>
      </w:r>
      <w:r w:rsidRPr="00871CF0">
        <w:rPr>
          <w:rFonts w:asciiTheme="minorHAnsi" w:hAnsiTheme="minorHAnsi"/>
          <w:color w:val="C45911" w:themeColor="accent2" w:themeShade="BF"/>
          <w:sz w:val="24"/>
          <w:szCs w:val="24"/>
        </w:rPr>
        <w:t xml:space="preserve"> acquisition of the real property.</w:t>
      </w:r>
      <w:bookmarkEnd w:id="1"/>
    </w:p>
    <w:p w14:paraId="60E41607" w14:textId="72FE6A6F" w:rsidR="001C4C91" w:rsidRPr="007C33E8" w:rsidRDefault="001C4C91" w:rsidP="007C33E8">
      <w:pPr>
        <w:ind w:left="-567" w:right="-563"/>
        <w:jc w:val="both"/>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Provincial Government of Cavite and Provincial Treasurer of Cavite vs. CQM Management, Inc.</w:t>
      </w:r>
    </w:p>
    <w:p w14:paraId="292DE402" w14:textId="77777777" w:rsidR="001C4C91" w:rsidRPr="007C33E8" w:rsidRDefault="001C4C91" w:rsidP="007C33E8">
      <w:pPr>
        <w:ind w:left="-567" w:right="-563"/>
        <w:jc w:val="both"/>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G.R. No. 248033</w:t>
      </w:r>
    </w:p>
    <w:p w14:paraId="6090F5EB" w14:textId="77777777" w:rsidR="001C4C91" w:rsidRPr="007C33E8" w:rsidRDefault="001C4C91" w:rsidP="007C33E8">
      <w:pPr>
        <w:ind w:left="-567" w:right="-563"/>
        <w:jc w:val="both"/>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 xml:space="preserve">July 15, 2020 </w:t>
      </w:r>
    </w:p>
    <w:p w14:paraId="3437265E" w14:textId="77777777" w:rsidR="001C4C91" w:rsidRPr="008F0A37" w:rsidRDefault="001C4C91" w:rsidP="007C33E8">
      <w:pPr>
        <w:ind w:right="-563"/>
      </w:pPr>
    </w:p>
    <w:p w14:paraId="46E27D7E" w14:textId="77777777" w:rsidR="00955646" w:rsidRPr="00955646" w:rsidRDefault="00955646" w:rsidP="007C33E8">
      <w:pPr>
        <w:spacing w:line="360" w:lineRule="auto"/>
        <w:ind w:left="-567" w:right="-563"/>
        <w:jc w:val="both"/>
        <w:rPr>
          <w:rFonts w:ascii="GT Walsheim Pro Regular" w:hAnsi="GT Walsheim Pro Regular"/>
          <w:color w:val="3B3838" w:themeColor="background2" w:themeShade="40"/>
          <w:sz w:val="20"/>
          <w:szCs w:val="20"/>
          <w:lang w:val="en-US"/>
        </w:rPr>
      </w:pPr>
      <w:r w:rsidRPr="00955646">
        <w:rPr>
          <w:rFonts w:ascii="GT Walsheim Pro Regular" w:hAnsi="GT Walsheim Pro Regular"/>
          <w:color w:val="3B3838" w:themeColor="background2" w:themeShade="40"/>
          <w:sz w:val="20"/>
          <w:szCs w:val="20"/>
          <w:lang w:val="en-US"/>
        </w:rPr>
        <w:t>Unpaid real property tax attaches to the real property and is chargeable against the taxable person who had actual or beneficial use and possession of it regardless of whether or not he is the owner. As Respondent CQM Management, Inc. was not yet the owner or entity with the actual or beneficial use of the buildings during the years for which Petitioner Government of Cavite sought to collect real property taxes, Respondent cannot be held liable for the such real property taxes. The Supreme Court held that to impose the real property taxes on Respondent, which was neither the owner nor the beneficial user of the buildings during the period subject of the taxes would not only be contrary to law, but also unjust.</w:t>
      </w:r>
    </w:p>
    <w:p w14:paraId="79F51732" w14:textId="77777777" w:rsidR="00955646" w:rsidRPr="00955646" w:rsidRDefault="00955646" w:rsidP="007C33E8">
      <w:pPr>
        <w:spacing w:line="360" w:lineRule="auto"/>
        <w:ind w:right="-563"/>
        <w:jc w:val="both"/>
        <w:rPr>
          <w:rFonts w:ascii="GT Walsheim Pro Regular" w:hAnsi="GT Walsheim Pro Regular"/>
          <w:color w:val="3B3838" w:themeColor="background2" w:themeShade="40"/>
          <w:sz w:val="20"/>
          <w:szCs w:val="20"/>
          <w:lang w:val="en-US"/>
        </w:rPr>
      </w:pPr>
    </w:p>
    <w:p w14:paraId="7DFD0161" w14:textId="4D23D113" w:rsidR="00DF427C" w:rsidRPr="00871CF0" w:rsidRDefault="00955646" w:rsidP="007C33E8">
      <w:pPr>
        <w:spacing w:line="360" w:lineRule="auto"/>
        <w:ind w:left="-567" w:right="-563"/>
        <w:jc w:val="both"/>
      </w:pPr>
      <w:r w:rsidRPr="00955646">
        <w:rPr>
          <w:rFonts w:ascii="GT Walsheim Pro Regular" w:hAnsi="GT Walsheim Pro Regular"/>
          <w:color w:val="3B3838" w:themeColor="background2" w:themeShade="40"/>
          <w:sz w:val="20"/>
          <w:szCs w:val="20"/>
          <w:lang w:val="en-US"/>
        </w:rPr>
        <w:t>The Supreme Court further held that not even a stipulation in the deed of assignment of real property that the transferor is selling, assigning, and conveying in favor of Respondent all rights, titles, obligations, benefits and interests in the buildings will make Respondent liable for the real property taxes. The contractual assumption of tax liability must be supplemented by an interest that the party assuming the liability had on the property; the person from whom payment is sought must have also acquired the beneficial use of the property taxes. In other words, he must have use and possession of the property.</w:t>
      </w:r>
    </w:p>
    <w:p w14:paraId="33D59653" w14:textId="77777777" w:rsidR="00DF427C" w:rsidRPr="00871CF0" w:rsidRDefault="00DF427C" w:rsidP="00871CF0">
      <w:pPr>
        <w:pStyle w:val="Heading1"/>
        <w:spacing w:before="0"/>
        <w:ind w:left="1080"/>
        <w:rPr>
          <w:rFonts w:asciiTheme="minorHAnsi" w:hAnsiTheme="minorHAnsi" w:cs="Times New Roman"/>
          <w:b/>
          <w:bCs/>
          <w:color w:val="C45911" w:themeColor="accent2" w:themeShade="BF"/>
          <w:sz w:val="28"/>
          <w:szCs w:val="28"/>
        </w:rPr>
      </w:pPr>
    </w:p>
    <w:p w14:paraId="0704F286" w14:textId="319E0603" w:rsidR="00A66899" w:rsidRPr="007C33E8" w:rsidRDefault="00A66899" w:rsidP="007C33E8">
      <w:pPr>
        <w:pStyle w:val="Heading1"/>
        <w:spacing w:before="0"/>
        <w:ind w:left="-567" w:right="-563"/>
        <w:rPr>
          <w:rFonts w:ascii="Arial" w:hAnsi="Arial" w:cs="Arial"/>
          <w:b/>
          <w:bCs/>
          <w:color w:val="C45911" w:themeColor="accent2" w:themeShade="BF"/>
          <w:sz w:val="24"/>
          <w:szCs w:val="24"/>
        </w:rPr>
      </w:pPr>
      <w:bookmarkStart w:id="2" w:name="_Toc50141420"/>
      <w:r w:rsidRPr="007C33E8">
        <w:rPr>
          <w:rFonts w:ascii="Arial" w:hAnsi="Arial" w:cs="Arial"/>
          <w:b/>
          <w:bCs/>
          <w:color w:val="C45911" w:themeColor="accent2" w:themeShade="BF"/>
          <w:sz w:val="24"/>
          <w:szCs w:val="24"/>
        </w:rPr>
        <w:t>C</w:t>
      </w:r>
      <w:r w:rsidR="00631935" w:rsidRPr="007C33E8">
        <w:rPr>
          <w:rFonts w:ascii="Arial" w:hAnsi="Arial" w:cs="Arial"/>
          <w:b/>
          <w:bCs/>
          <w:color w:val="C45911" w:themeColor="accent2" w:themeShade="BF"/>
          <w:sz w:val="24"/>
          <w:szCs w:val="24"/>
        </w:rPr>
        <w:t xml:space="preserve">OURT OF TAX APPEALS </w:t>
      </w:r>
      <w:r w:rsidR="000E0EC9" w:rsidRPr="007C33E8">
        <w:rPr>
          <w:rFonts w:ascii="Arial" w:hAnsi="Arial" w:cs="Arial"/>
          <w:b/>
          <w:bCs/>
          <w:color w:val="C45911" w:themeColor="accent2" w:themeShade="BF"/>
          <w:sz w:val="24"/>
          <w:szCs w:val="24"/>
        </w:rPr>
        <w:t>DECISIONS</w:t>
      </w:r>
      <w:bookmarkEnd w:id="2"/>
    </w:p>
    <w:p w14:paraId="3BB0D02A" w14:textId="77777777" w:rsidR="00052AF3" w:rsidRPr="00871CF0" w:rsidRDefault="00052AF3" w:rsidP="007C33E8">
      <w:pPr>
        <w:ind w:left="-567" w:right="-563"/>
        <w:jc w:val="both"/>
        <w:rPr>
          <w:i/>
          <w:iCs/>
        </w:rPr>
      </w:pPr>
    </w:p>
    <w:p w14:paraId="679EC7BB" w14:textId="21FC2E25" w:rsidR="00523773" w:rsidRPr="007C33E8" w:rsidRDefault="00523773" w:rsidP="007C33E8">
      <w:pPr>
        <w:pStyle w:val="Heading1"/>
        <w:spacing w:before="0"/>
        <w:ind w:left="-567" w:right="-563"/>
        <w:jc w:val="both"/>
        <w:rPr>
          <w:rFonts w:ascii="Arial" w:hAnsi="Arial" w:cs="Arial"/>
          <w:color w:val="C45911" w:themeColor="accent2" w:themeShade="BF"/>
          <w:sz w:val="24"/>
          <w:szCs w:val="24"/>
        </w:rPr>
      </w:pPr>
      <w:bookmarkStart w:id="3" w:name="_Toc50141421"/>
      <w:r w:rsidRPr="007C33E8">
        <w:rPr>
          <w:rFonts w:ascii="Arial" w:hAnsi="Arial" w:cs="Arial"/>
          <w:color w:val="C45911" w:themeColor="accent2" w:themeShade="BF"/>
          <w:sz w:val="24"/>
          <w:szCs w:val="24"/>
        </w:rPr>
        <w:t xml:space="preserve">No </w:t>
      </w:r>
      <w:r w:rsidR="00A15712" w:rsidRPr="007C33E8">
        <w:rPr>
          <w:rFonts w:ascii="Arial" w:hAnsi="Arial" w:cs="Arial"/>
          <w:color w:val="C45911" w:themeColor="accent2" w:themeShade="BF"/>
          <w:sz w:val="24"/>
          <w:szCs w:val="24"/>
        </w:rPr>
        <w:t>tax (</w:t>
      </w:r>
      <w:r w:rsidRPr="007C33E8">
        <w:rPr>
          <w:rFonts w:ascii="Arial" w:hAnsi="Arial" w:cs="Arial"/>
          <w:color w:val="C45911" w:themeColor="accent2" w:themeShade="BF"/>
          <w:sz w:val="24"/>
          <w:szCs w:val="24"/>
        </w:rPr>
        <w:t>civil</w:t>
      </w:r>
      <w:r w:rsidR="00A15712" w:rsidRPr="007C33E8">
        <w:rPr>
          <w:rFonts w:ascii="Arial" w:hAnsi="Arial" w:cs="Arial"/>
          <w:color w:val="C45911" w:themeColor="accent2" w:themeShade="BF"/>
          <w:sz w:val="24"/>
          <w:szCs w:val="24"/>
        </w:rPr>
        <w:t>)</w:t>
      </w:r>
      <w:r w:rsidRPr="007C33E8">
        <w:rPr>
          <w:rFonts w:ascii="Arial" w:hAnsi="Arial" w:cs="Arial"/>
          <w:color w:val="C45911" w:themeColor="accent2" w:themeShade="BF"/>
          <w:sz w:val="24"/>
          <w:szCs w:val="24"/>
        </w:rPr>
        <w:t xml:space="preserve"> liability may be imposed by the court in a criminal case without a prior assessment</w:t>
      </w:r>
      <w:r w:rsidR="00A15712" w:rsidRPr="007C33E8">
        <w:rPr>
          <w:rFonts w:ascii="Arial" w:hAnsi="Arial" w:cs="Arial"/>
          <w:color w:val="C45911" w:themeColor="accent2" w:themeShade="BF"/>
          <w:sz w:val="24"/>
          <w:szCs w:val="24"/>
        </w:rPr>
        <w:t xml:space="preserve"> issued</w:t>
      </w:r>
      <w:r w:rsidRPr="007C33E8">
        <w:rPr>
          <w:rFonts w:ascii="Arial" w:hAnsi="Arial" w:cs="Arial"/>
          <w:color w:val="C45911" w:themeColor="accent2" w:themeShade="BF"/>
          <w:sz w:val="24"/>
          <w:szCs w:val="24"/>
        </w:rPr>
        <w:t xml:space="preserve"> by the Commissioner of Internal Revenue</w:t>
      </w:r>
      <w:r w:rsidR="006F5AF6" w:rsidRPr="007C33E8">
        <w:rPr>
          <w:rFonts w:ascii="Arial" w:hAnsi="Arial" w:cs="Arial"/>
          <w:color w:val="C45911" w:themeColor="accent2" w:themeShade="BF"/>
          <w:sz w:val="24"/>
          <w:szCs w:val="24"/>
        </w:rPr>
        <w:t>.</w:t>
      </w:r>
      <w:bookmarkEnd w:id="3"/>
      <w:r w:rsidR="006F5AF6" w:rsidRPr="007C33E8">
        <w:rPr>
          <w:rFonts w:ascii="Arial" w:hAnsi="Arial" w:cs="Arial"/>
          <w:color w:val="C45911" w:themeColor="accent2" w:themeShade="BF"/>
          <w:sz w:val="24"/>
          <w:szCs w:val="24"/>
        </w:rPr>
        <w:t xml:space="preserve"> </w:t>
      </w:r>
    </w:p>
    <w:p w14:paraId="5161412D" w14:textId="77777777" w:rsidR="00523773" w:rsidRPr="007C33E8" w:rsidRDefault="00523773" w:rsidP="007C33E8">
      <w:pPr>
        <w:ind w:left="-567" w:right="-563"/>
        <w:jc w:val="both"/>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People of the Philippines vs. Rebecca S. Tiotangco</w:t>
      </w:r>
    </w:p>
    <w:p w14:paraId="1B0E38F0" w14:textId="77777777" w:rsidR="00523773" w:rsidRPr="007C33E8" w:rsidRDefault="00523773" w:rsidP="007C33E8">
      <w:pPr>
        <w:ind w:left="-567" w:right="-563"/>
        <w:jc w:val="both"/>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CTA Crim. Case. Nos. O-599, O-601, O-603, &amp; O-604</w:t>
      </w:r>
    </w:p>
    <w:p w14:paraId="0BAAFDA6" w14:textId="77777777" w:rsidR="00523773" w:rsidRPr="007C33E8" w:rsidRDefault="00523773" w:rsidP="007C33E8">
      <w:pPr>
        <w:ind w:left="-567" w:right="-563"/>
        <w:jc w:val="both"/>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June 15, 2020</w:t>
      </w:r>
    </w:p>
    <w:p w14:paraId="39D16E18" w14:textId="77777777" w:rsidR="00523773" w:rsidRPr="007C33E8" w:rsidRDefault="00523773" w:rsidP="007C33E8">
      <w:pPr>
        <w:ind w:right="-563"/>
        <w:jc w:val="both"/>
        <w:rPr>
          <w:color w:val="3B3838" w:themeColor="background2" w:themeShade="40"/>
        </w:rPr>
      </w:pPr>
    </w:p>
    <w:p w14:paraId="32796FAD" w14:textId="77777777" w:rsidR="00523773" w:rsidRPr="007C33E8" w:rsidRDefault="00523773" w:rsidP="007C33E8">
      <w:pPr>
        <w:spacing w:line="360" w:lineRule="auto"/>
        <w:ind w:left="-567"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While an assessment is not required in the prosecution of the criminal case, the final determination of the Commissioner of Internal Revenue as to the tax liability is necessary for the Court to rule on the civil liability of the accused.</w:t>
      </w:r>
    </w:p>
    <w:p w14:paraId="77BE1B55" w14:textId="77777777" w:rsidR="00523773" w:rsidRPr="007C33E8" w:rsidRDefault="00523773" w:rsidP="007C33E8">
      <w:pPr>
        <w:spacing w:line="360" w:lineRule="auto"/>
        <w:ind w:left="-567" w:right="-563"/>
        <w:jc w:val="both"/>
        <w:rPr>
          <w:rFonts w:ascii="GT Walsheim Pro Regular" w:hAnsi="GT Walsheim Pro Regular"/>
          <w:color w:val="3B3838" w:themeColor="background2" w:themeShade="40"/>
          <w:sz w:val="20"/>
          <w:szCs w:val="20"/>
        </w:rPr>
      </w:pPr>
    </w:p>
    <w:p w14:paraId="25DF0026" w14:textId="1C9111EE" w:rsidR="006124BC" w:rsidRDefault="00523773" w:rsidP="007C33E8">
      <w:pPr>
        <w:spacing w:line="360" w:lineRule="auto"/>
        <w:ind w:left="-567" w:right="-563"/>
        <w:jc w:val="both"/>
        <w:rPr>
          <w:rFonts w:asciiTheme="minorHAnsi" w:hAnsiTheme="minorHAnsi"/>
          <w:color w:val="C45911" w:themeColor="accent2" w:themeShade="BF"/>
        </w:rPr>
      </w:pPr>
      <w:r w:rsidRPr="007C33E8">
        <w:rPr>
          <w:rFonts w:ascii="GT Walsheim Pro Regular" w:hAnsi="GT Walsheim Pro Regular"/>
          <w:color w:val="3B3838" w:themeColor="background2" w:themeShade="40"/>
          <w:sz w:val="20"/>
          <w:szCs w:val="20"/>
        </w:rPr>
        <w:t xml:space="preserve">Section 205 of the National Internal Revenue Code of 1997, as amended, provides that the judgment in the criminal case shall not only impose the penalty but shall also order payment of the taxes subject of the criminal case </w:t>
      </w:r>
      <w:r w:rsidRPr="007C33E8">
        <w:rPr>
          <w:rFonts w:ascii="GT Walsheim Pro Regular" w:hAnsi="GT Walsheim Pro Regular"/>
          <w:color w:val="3B3838" w:themeColor="background2" w:themeShade="40"/>
          <w:sz w:val="20"/>
          <w:szCs w:val="20"/>
          <w:u w:val="single"/>
        </w:rPr>
        <w:t>as finally decided by the Commissioner</w:t>
      </w:r>
      <w:r w:rsidRPr="007C33E8">
        <w:rPr>
          <w:rFonts w:ascii="GT Walsheim Pro Regular" w:hAnsi="GT Walsheim Pro Regular"/>
          <w:color w:val="3B3838" w:themeColor="background2" w:themeShade="40"/>
          <w:sz w:val="20"/>
          <w:szCs w:val="20"/>
        </w:rPr>
        <w:t>. Thus, for a civil liability to be included in the judgment, it must be the final decision of the Commissioner of Internal Revenue – referring to a formal assessment.</w:t>
      </w:r>
      <w:r w:rsidR="00955646" w:rsidRPr="00955646">
        <w:rPr>
          <w:color w:val="3B3838" w:themeColor="background2" w:themeShade="40"/>
          <w:lang w:val="en-US"/>
        </w:rPr>
        <w:t xml:space="preserve"> </w:t>
      </w:r>
    </w:p>
    <w:p w14:paraId="524A1427" w14:textId="77777777" w:rsidR="006124BC" w:rsidRPr="007C33E8" w:rsidRDefault="006124BC" w:rsidP="007C33E8">
      <w:pPr>
        <w:rPr>
          <w:rFonts w:asciiTheme="minorHAnsi" w:hAnsiTheme="minorHAnsi" w:cstheme="minorBidi"/>
        </w:rPr>
      </w:pPr>
    </w:p>
    <w:p w14:paraId="52CB7574" w14:textId="68A89167" w:rsidR="00523773" w:rsidRPr="007C33E8" w:rsidRDefault="00A15712" w:rsidP="007C33E8">
      <w:pPr>
        <w:pStyle w:val="Heading1"/>
        <w:spacing w:before="0"/>
        <w:ind w:left="-567"/>
        <w:rPr>
          <w:rFonts w:ascii="Arial" w:hAnsi="Arial" w:cs="Arial"/>
          <w:color w:val="C45911" w:themeColor="accent2" w:themeShade="BF"/>
          <w:sz w:val="24"/>
          <w:szCs w:val="24"/>
        </w:rPr>
      </w:pPr>
      <w:bookmarkStart w:id="4" w:name="_Toc50141422"/>
      <w:r w:rsidRPr="007C33E8">
        <w:rPr>
          <w:rFonts w:ascii="Arial" w:hAnsi="Arial" w:cs="Arial"/>
          <w:color w:val="C45911" w:themeColor="accent2" w:themeShade="BF"/>
          <w:sz w:val="24"/>
          <w:szCs w:val="24"/>
        </w:rPr>
        <w:t>An I</w:t>
      </w:r>
      <w:r w:rsidR="00523773" w:rsidRPr="007C33E8">
        <w:rPr>
          <w:rFonts w:ascii="Arial" w:hAnsi="Arial" w:cs="Arial"/>
          <w:color w:val="C45911" w:themeColor="accent2" w:themeShade="BF"/>
          <w:sz w:val="24"/>
          <w:szCs w:val="24"/>
        </w:rPr>
        <w:t xml:space="preserve">nformation must state </w:t>
      </w:r>
      <w:r w:rsidRPr="007C33E8">
        <w:rPr>
          <w:rFonts w:ascii="Arial" w:hAnsi="Arial" w:cs="Arial"/>
          <w:color w:val="C45911" w:themeColor="accent2" w:themeShade="BF"/>
          <w:sz w:val="24"/>
          <w:szCs w:val="24"/>
        </w:rPr>
        <w:t xml:space="preserve">the </w:t>
      </w:r>
      <w:r w:rsidR="00523773" w:rsidRPr="007C33E8">
        <w:rPr>
          <w:rFonts w:ascii="Arial" w:hAnsi="Arial" w:cs="Arial"/>
          <w:color w:val="C45911" w:themeColor="accent2" w:themeShade="BF"/>
          <w:sz w:val="24"/>
          <w:szCs w:val="24"/>
        </w:rPr>
        <w:t>principal amount of tax</w:t>
      </w:r>
      <w:r w:rsidRPr="007C33E8">
        <w:rPr>
          <w:rFonts w:ascii="Arial" w:hAnsi="Arial" w:cs="Arial"/>
          <w:color w:val="C45911" w:themeColor="accent2" w:themeShade="BF"/>
          <w:sz w:val="24"/>
          <w:szCs w:val="24"/>
        </w:rPr>
        <w:t xml:space="preserve"> due</w:t>
      </w:r>
      <w:r w:rsidR="006F5AF6" w:rsidRPr="007C33E8">
        <w:rPr>
          <w:rFonts w:ascii="Arial" w:hAnsi="Arial" w:cs="Arial"/>
          <w:color w:val="C45911" w:themeColor="accent2" w:themeShade="BF"/>
          <w:sz w:val="24"/>
          <w:szCs w:val="24"/>
        </w:rPr>
        <w:t>.</w:t>
      </w:r>
      <w:bookmarkEnd w:id="4"/>
      <w:r w:rsidR="00523773" w:rsidRPr="007C33E8">
        <w:rPr>
          <w:rFonts w:ascii="Arial" w:hAnsi="Arial" w:cs="Arial"/>
          <w:color w:val="C45911" w:themeColor="accent2" w:themeShade="BF"/>
          <w:sz w:val="24"/>
          <w:szCs w:val="24"/>
        </w:rPr>
        <w:t xml:space="preserve"> </w:t>
      </w:r>
    </w:p>
    <w:p w14:paraId="6265B27D" w14:textId="77777777" w:rsidR="00523773" w:rsidRPr="007C33E8" w:rsidRDefault="00523773" w:rsidP="007C33E8">
      <w:pPr>
        <w:ind w:left="-567"/>
        <w:jc w:val="both"/>
        <w:rPr>
          <w:rFonts w:ascii="GT Walsheim Pro Regular" w:hAnsi="GT Walsheim Pro Regular"/>
          <w:b/>
          <w:bCs/>
          <w:sz w:val="20"/>
          <w:szCs w:val="20"/>
        </w:rPr>
      </w:pPr>
      <w:r w:rsidRPr="007C33E8">
        <w:rPr>
          <w:rFonts w:ascii="GT Walsheim Pro Regular" w:hAnsi="GT Walsheim Pro Regular"/>
          <w:b/>
          <w:bCs/>
          <w:sz w:val="20"/>
          <w:szCs w:val="20"/>
        </w:rPr>
        <w:t>People of the Philippines vs. Robigie Corporation, Grace C. Sucksuphan</w:t>
      </w:r>
    </w:p>
    <w:p w14:paraId="727D4CF5" w14:textId="77777777" w:rsidR="00523773" w:rsidRPr="007C33E8" w:rsidRDefault="00523773" w:rsidP="007C33E8">
      <w:pPr>
        <w:ind w:left="-567"/>
        <w:jc w:val="both"/>
        <w:rPr>
          <w:rFonts w:ascii="GT Walsheim Pro Regular" w:hAnsi="GT Walsheim Pro Regular"/>
          <w:b/>
          <w:bCs/>
          <w:sz w:val="20"/>
          <w:szCs w:val="20"/>
        </w:rPr>
      </w:pPr>
      <w:r w:rsidRPr="007C33E8">
        <w:rPr>
          <w:rFonts w:ascii="GT Walsheim Pro Regular" w:hAnsi="GT Walsheim Pro Regular"/>
          <w:b/>
          <w:bCs/>
          <w:sz w:val="20"/>
          <w:szCs w:val="20"/>
        </w:rPr>
        <w:t>CTA Crim. Case. No. O-639</w:t>
      </w:r>
    </w:p>
    <w:p w14:paraId="4BFE5441" w14:textId="77777777" w:rsidR="00523773" w:rsidRPr="007C33E8" w:rsidRDefault="00523773" w:rsidP="007C33E8">
      <w:pPr>
        <w:ind w:left="-567"/>
        <w:jc w:val="both"/>
        <w:rPr>
          <w:rFonts w:ascii="GT Walsheim Pro Regular" w:hAnsi="GT Walsheim Pro Regular"/>
          <w:b/>
          <w:bCs/>
          <w:sz w:val="20"/>
          <w:szCs w:val="20"/>
        </w:rPr>
      </w:pPr>
      <w:r w:rsidRPr="007C33E8">
        <w:rPr>
          <w:rFonts w:ascii="GT Walsheim Pro Regular" w:hAnsi="GT Walsheim Pro Regular"/>
          <w:b/>
          <w:bCs/>
          <w:sz w:val="20"/>
          <w:szCs w:val="20"/>
        </w:rPr>
        <w:t>June 17, 2020</w:t>
      </w:r>
    </w:p>
    <w:p w14:paraId="3048105E" w14:textId="77777777" w:rsidR="00523773" w:rsidRPr="007C33E8" w:rsidRDefault="00523773" w:rsidP="007C33E8">
      <w:pPr>
        <w:ind w:left="-567"/>
        <w:jc w:val="both"/>
        <w:rPr>
          <w:rFonts w:ascii="GT Walsheim Pro Regular" w:hAnsi="GT Walsheim Pro Regular"/>
          <w:sz w:val="20"/>
          <w:szCs w:val="20"/>
        </w:rPr>
      </w:pPr>
    </w:p>
    <w:p w14:paraId="57A8A756" w14:textId="2CD33B2F" w:rsidR="00523773" w:rsidRPr="007C33E8" w:rsidRDefault="00A15712" w:rsidP="004A417C">
      <w:pPr>
        <w:spacing w:line="360" w:lineRule="auto"/>
        <w:ind w:left="-567" w:right="-563"/>
        <w:jc w:val="both"/>
        <w:rPr>
          <w:rFonts w:ascii="GT Walsheim Pro Regular" w:hAnsi="GT Walsheim Pro Regular"/>
          <w:sz w:val="20"/>
          <w:szCs w:val="20"/>
        </w:rPr>
      </w:pPr>
      <w:r w:rsidRPr="007C33E8">
        <w:rPr>
          <w:rFonts w:ascii="GT Walsheim Pro Regular" w:hAnsi="GT Walsheim Pro Regular"/>
          <w:sz w:val="20"/>
          <w:szCs w:val="20"/>
        </w:rPr>
        <w:lastRenderedPageBreak/>
        <w:t>An</w:t>
      </w:r>
      <w:r w:rsidR="00523773" w:rsidRPr="007C33E8">
        <w:rPr>
          <w:rFonts w:ascii="GT Walsheim Pro Regular" w:hAnsi="GT Walsheim Pro Regular"/>
          <w:sz w:val="20"/>
          <w:szCs w:val="20"/>
        </w:rPr>
        <w:t xml:space="preserve"> Information </w:t>
      </w:r>
      <w:r w:rsidRPr="007C33E8">
        <w:rPr>
          <w:rFonts w:ascii="GT Walsheim Pro Regular" w:hAnsi="GT Walsheim Pro Regular"/>
          <w:sz w:val="20"/>
          <w:szCs w:val="20"/>
        </w:rPr>
        <w:t xml:space="preserve">that does </w:t>
      </w:r>
      <w:r w:rsidR="00523773" w:rsidRPr="007C33E8">
        <w:rPr>
          <w:rFonts w:ascii="GT Walsheim Pro Regular" w:hAnsi="GT Walsheim Pro Regular"/>
          <w:sz w:val="20"/>
          <w:szCs w:val="20"/>
        </w:rPr>
        <w:t xml:space="preserve">not indicate whether the amount of the unpaid deficiency internal revenue tax liabilities is exclusive of charges and penalties is too ambiguous </w:t>
      </w:r>
      <w:r w:rsidRPr="007C33E8">
        <w:rPr>
          <w:rFonts w:ascii="GT Walsheim Pro Regular" w:hAnsi="GT Walsheim Pro Regular"/>
          <w:sz w:val="20"/>
          <w:szCs w:val="20"/>
        </w:rPr>
        <w:t>and</w:t>
      </w:r>
      <w:r w:rsidR="00523773" w:rsidRPr="007C33E8">
        <w:rPr>
          <w:rFonts w:ascii="GT Walsheim Pro Regular" w:hAnsi="GT Walsheim Pro Regular"/>
          <w:sz w:val="20"/>
          <w:szCs w:val="20"/>
        </w:rPr>
        <w:t xml:space="preserve"> lacks the appropriate allegation </w:t>
      </w:r>
      <w:r w:rsidRPr="007C33E8">
        <w:rPr>
          <w:rFonts w:ascii="GT Walsheim Pro Regular" w:hAnsi="GT Walsheim Pro Regular"/>
          <w:sz w:val="20"/>
          <w:szCs w:val="20"/>
        </w:rPr>
        <w:t>of the</w:t>
      </w:r>
      <w:r w:rsidR="00523773" w:rsidRPr="007C33E8">
        <w:rPr>
          <w:rFonts w:ascii="GT Walsheim Pro Regular" w:hAnsi="GT Walsheim Pro Regular"/>
          <w:sz w:val="20"/>
          <w:szCs w:val="20"/>
        </w:rPr>
        <w:t xml:space="preserve"> principal amount of taxes </w:t>
      </w:r>
      <w:r w:rsidRPr="007C33E8">
        <w:rPr>
          <w:rFonts w:ascii="GT Walsheim Pro Regular" w:hAnsi="GT Walsheim Pro Regular"/>
          <w:sz w:val="20"/>
          <w:szCs w:val="20"/>
        </w:rPr>
        <w:t xml:space="preserve">(exclusive of charges and penalties) required to establish the jurisdiction of </w:t>
      </w:r>
      <w:r w:rsidR="00523773" w:rsidRPr="007C33E8">
        <w:rPr>
          <w:rFonts w:ascii="GT Walsheim Pro Regular" w:hAnsi="GT Walsheim Pro Regular"/>
          <w:sz w:val="20"/>
          <w:szCs w:val="20"/>
        </w:rPr>
        <w:t xml:space="preserve">the CTA over </w:t>
      </w:r>
      <w:r w:rsidRPr="007C33E8">
        <w:rPr>
          <w:rFonts w:ascii="GT Walsheim Pro Regular" w:hAnsi="GT Walsheim Pro Regular"/>
          <w:sz w:val="20"/>
          <w:szCs w:val="20"/>
        </w:rPr>
        <w:t>a criminal</w:t>
      </w:r>
      <w:r w:rsidR="00523773" w:rsidRPr="007C33E8">
        <w:rPr>
          <w:rFonts w:ascii="GT Walsheim Pro Regular" w:hAnsi="GT Walsheim Pro Regular"/>
          <w:sz w:val="20"/>
          <w:szCs w:val="20"/>
        </w:rPr>
        <w:t xml:space="preserve"> case.</w:t>
      </w:r>
    </w:p>
    <w:p w14:paraId="3555FD7E" w14:textId="4612F7E1" w:rsidR="00523773" w:rsidRPr="007C33E8" w:rsidRDefault="00A511AF" w:rsidP="007C33E8">
      <w:pPr>
        <w:pStyle w:val="Heading1"/>
        <w:ind w:left="-567" w:right="-563"/>
        <w:rPr>
          <w:rFonts w:ascii="Arial" w:hAnsi="Arial" w:cs="Arial"/>
          <w:color w:val="ED7D31" w:themeColor="accent2"/>
        </w:rPr>
      </w:pPr>
      <w:bookmarkStart w:id="5" w:name="_Toc50141423"/>
      <w:r>
        <w:rPr>
          <w:rFonts w:ascii="Arial" w:hAnsi="Arial" w:cs="Arial"/>
          <w:color w:val="C45911" w:themeColor="accent2" w:themeShade="BF"/>
          <w:sz w:val="24"/>
          <w:szCs w:val="24"/>
        </w:rPr>
        <w:t>An accused corporation has the same right to an arraignment as a natural person</w:t>
      </w:r>
      <w:r w:rsidR="003D4A81">
        <w:rPr>
          <w:rFonts w:ascii="Arial" w:hAnsi="Arial" w:cs="Arial"/>
          <w:color w:val="C45911" w:themeColor="accent2" w:themeShade="BF"/>
          <w:sz w:val="24"/>
          <w:szCs w:val="24"/>
        </w:rPr>
        <w:t>.</w:t>
      </w:r>
      <w:bookmarkEnd w:id="5"/>
      <w:r w:rsidR="006F5AF6" w:rsidRPr="007C33E8">
        <w:rPr>
          <w:rFonts w:ascii="Arial" w:hAnsi="Arial" w:cs="Arial"/>
          <w:color w:val="ED7D31" w:themeColor="accent2"/>
        </w:rPr>
        <w:t xml:space="preserve"> </w:t>
      </w:r>
    </w:p>
    <w:p w14:paraId="4FAA4951" w14:textId="1E27A6E9" w:rsidR="00523773" w:rsidRPr="007C33E8" w:rsidRDefault="006F5AF6" w:rsidP="007C33E8">
      <w:pPr>
        <w:spacing w:line="360" w:lineRule="auto"/>
        <w:ind w:left="-567" w:right="-563"/>
        <w:jc w:val="both"/>
        <w:rPr>
          <w:rFonts w:ascii="GT Walsheim Pro Regular" w:hAnsi="GT Walsheim Pro Regular"/>
          <w:sz w:val="20"/>
          <w:szCs w:val="20"/>
        </w:rPr>
      </w:pPr>
      <w:r w:rsidRPr="007C33E8">
        <w:rPr>
          <w:rFonts w:ascii="GT Walsheim Pro Regular" w:hAnsi="GT Walsheim Pro Regular"/>
          <w:sz w:val="20"/>
          <w:szCs w:val="20"/>
        </w:rPr>
        <w:t>An accused corporation that was not subjected to an arraignment (by representation of its responsible officers)</w:t>
      </w:r>
      <w:r w:rsidR="00523773" w:rsidRPr="007C33E8">
        <w:rPr>
          <w:rFonts w:ascii="GT Walsheim Pro Regular" w:hAnsi="GT Walsheim Pro Regular"/>
          <w:sz w:val="20"/>
          <w:szCs w:val="20"/>
        </w:rPr>
        <w:t xml:space="preserve"> cannot be held criminally liable. Arraignment of an accused is indispensable in any criminal prosecution in recognition of the right of the accused to due process of law and the constitutional right against double jeopardy. Under Rule 116, Section 1 (a) an accused must be arraigned, without any distinction as to whether the accused is a natural or juridical person.</w:t>
      </w:r>
    </w:p>
    <w:p w14:paraId="143A6089" w14:textId="77777777" w:rsidR="0066380B" w:rsidRPr="00871CF0" w:rsidRDefault="0066380B" w:rsidP="007C33E8">
      <w:pPr>
        <w:pStyle w:val="Heading1"/>
        <w:spacing w:before="0"/>
        <w:ind w:left="-567"/>
        <w:jc w:val="both"/>
        <w:rPr>
          <w:rFonts w:asciiTheme="minorHAnsi" w:hAnsiTheme="minorHAnsi" w:cs="Times New Roman"/>
          <w:color w:val="C45911" w:themeColor="accent2" w:themeShade="BF"/>
          <w:sz w:val="24"/>
          <w:szCs w:val="24"/>
        </w:rPr>
      </w:pPr>
    </w:p>
    <w:p w14:paraId="706D6683" w14:textId="3F3454EF" w:rsidR="00523773" w:rsidRPr="007C33E8" w:rsidRDefault="00523773" w:rsidP="007C33E8">
      <w:pPr>
        <w:pStyle w:val="Heading1"/>
        <w:spacing w:before="0"/>
        <w:ind w:left="-567" w:right="-563"/>
        <w:jc w:val="both"/>
        <w:rPr>
          <w:rFonts w:ascii="Arial" w:hAnsi="Arial" w:cs="Arial"/>
          <w:color w:val="C45911" w:themeColor="accent2" w:themeShade="BF"/>
          <w:sz w:val="24"/>
          <w:szCs w:val="24"/>
        </w:rPr>
      </w:pPr>
      <w:bookmarkStart w:id="6" w:name="_Toc50141424"/>
      <w:r w:rsidRPr="007C33E8">
        <w:rPr>
          <w:rFonts w:ascii="Arial" w:hAnsi="Arial" w:cs="Arial"/>
          <w:color w:val="C45911" w:themeColor="accent2" w:themeShade="BF"/>
          <w:sz w:val="24"/>
          <w:szCs w:val="24"/>
        </w:rPr>
        <w:t>The period of filing an appeal with the CTA due to inaction of the Commissioner of Internal Revenue may be reckoned from the date of re-submission of supporting documents requested by the Commissioner</w:t>
      </w:r>
      <w:r w:rsidR="00C77A5D" w:rsidRPr="007C33E8">
        <w:rPr>
          <w:rFonts w:ascii="Arial" w:hAnsi="Arial" w:cs="Arial"/>
          <w:color w:val="C45911" w:themeColor="accent2" w:themeShade="BF"/>
          <w:sz w:val="24"/>
          <w:szCs w:val="24"/>
        </w:rPr>
        <w:t>.</w:t>
      </w:r>
      <w:bookmarkEnd w:id="6"/>
      <w:r w:rsidR="00C77A5D" w:rsidRPr="007C33E8">
        <w:rPr>
          <w:rFonts w:ascii="Arial" w:hAnsi="Arial" w:cs="Arial"/>
          <w:color w:val="C45911" w:themeColor="accent2" w:themeShade="BF"/>
          <w:sz w:val="24"/>
          <w:szCs w:val="24"/>
        </w:rPr>
        <w:t xml:space="preserve"> </w:t>
      </w:r>
    </w:p>
    <w:p w14:paraId="3002A561" w14:textId="77777777" w:rsidR="00523773" w:rsidRPr="007C33E8" w:rsidRDefault="00523773" w:rsidP="007C33E8">
      <w:pPr>
        <w:pStyle w:val="NormalWeb"/>
        <w:ind w:left="-567" w:right="-563"/>
        <w:jc w:val="both"/>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Solutions Using Renewable Energy, Inc. vs. Commissioner of Internal Revenue</w:t>
      </w:r>
    </w:p>
    <w:p w14:paraId="708F4264" w14:textId="6A1A95D7" w:rsidR="00523773" w:rsidRPr="007C33E8" w:rsidRDefault="00523773" w:rsidP="007C33E8">
      <w:pPr>
        <w:pStyle w:val="NormalWeb"/>
        <w:ind w:left="-567" w:right="-563"/>
        <w:jc w:val="both"/>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 xml:space="preserve">CTA Case </w:t>
      </w:r>
      <w:r w:rsidR="00A67D1B" w:rsidRPr="007C33E8">
        <w:rPr>
          <w:rFonts w:ascii="GT Walsheim Pro Regular" w:hAnsi="GT Walsheim Pro Regular"/>
          <w:b/>
          <w:bCs/>
          <w:color w:val="3B3838" w:themeColor="background2" w:themeShade="40"/>
          <w:sz w:val="20"/>
          <w:szCs w:val="20"/>
        </w:rPr>
        <w:t>N</w:t>
      </w:r>
      <w:r w:rsidRPr="007C33E8">
        <w:rPr>
          <w:rFonts w:ascii="GT Walsheim Pro Regular" w:hAnsi="GT Walsheim Pro Regular"/>
          <w:b/>
          <w:bCs/>
          <w:color w:val="3B3838" w:themeColor="background2" w:themeShade="40"/>
          <w:sz w:val="20"/>
          <w:szCs w:val="20"/>
        </w:rPr>
        <w:t>o. 8974</w:t>
      </w:r>
    </w:p>
    <w:p w14:paraId="42F2F375" w14:textId="77777777" w:rsidR="00523773" w:rsidRPr="007C33E8" w:rsidRDefault="00523773" w:rsidP="007C33E8">
      <w:pPr>
        <w:pStyle w:val="NormalWeb"/>
        <w:ind w:left="-567" w:right="-563"/>
        <w:jc w:val="both"/>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July 9, 2020</w:t>
      </w:r>
    </w:p>
    <w:p w14:paraId="7D72B687" w14:textId="77777777" w:rsidR="00523773" w:rsidRPr="007C33E8" w:rsidRDefault="00523773" w:rsidP="007C33E8">
      <w:pPr>
        <w:pStyle w:val="NormalWeb"/>
        <w:ind w:left="-567" w:right="-563"/>
        <w:jc w:val="both"/>
        <w:rPr>
          <w:rFonts w:ascii="GT Walsheim Pro Regular" w:hAnsi="GT Walsheim Pro Regular"/>
          <w:b/>
          <w:bCs/>
          <w:color w:val="3B3838" w:themeColor="background2" w:themeShade="40"/>
          <w:sz w:val="20"/>
          <w:szCs w:val="20"/>
        </w:rPr>
      </w:pPr>
    </w:p>
    <w:p w14:paraId="34D14FE1" w14:textId="5E096EEC" w:rsidR="00523773" w:rsidRPr="007C33E8" w:rsidRDefault="007B2915" w:rsidP="007C33E8">
      <w:pPr>
        <w:pStyle w:val="NormalWeb"/>
        <w:spacing w:line="360" w:lineRule="auto"/>
        <w:ind w:left="-567"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 xml:space="preserve">Since </w:t>
      </w:r>
      <w:r w:rsidR="00523773" w:rsidRPr="007C33E8">
        <w:rPr>
          <w:rFonts w:ascii="GT Walsheim Pro Regular" w:hAnsi="GT Walsheim Pro Regular"/>
          <w:color w:val="3B3838" w:themeColor="background2" w:themeShade="40"/>
          <w:sz w:val="20"/>
          <w:szCs w:val="20"/>
        </w:rPr>
        <w:t>the Commissioner of Internal Revenue</w:t>
      </w:r>
      <w:r w:rsidR="004558BA" w:rsidRPr="007C33E8">
        <w:rPr>
          <w:rFonts w:ascii="GT Walsheim Pro Regular" w:hAnsi="GT Walsheim Pro Regular"/>
          <w:color w:val="3B3838" w:themeColor="background2" w:themeShade="40"/>
          <w:sz w:val="20"/>
          <w:szCs w:val="20"/>
        </w:rPr>
        <w:t xml:space="preserve">, after </w:t>
      </w:r>
      <w:r w:rsidR="00F236FE" w:rsidRPr="007C33E8">
        <w:rPr>
          <w:rFonts w:ascii="GT Walsheim Pro Regular" w:hAnsi="GT Walsheim Pro Regular"/>
          <w:color w:val="3B3838" w:themeColor="background2" w:themeShade="40"/>
          <w:sz w:val="20"/>
          <w:szCs w:val="20"/>
        </w:rPr>
        <w:t xml:space="preserve">the taxpayer filed its supporting documents within the </w:t>
      </w:r>
      <w:r w:rsidR="00E46F2D" w:rsidRPr="007C33E8">
        <w:rPr>
          <w:rFonts w:ascii="GT Walsheim Pro Regular" w:hAnsi="GT Walsheim Pro Regular"/>
          <w:color w:val="3B3838" w:themeColor="background2" w:themeShade="40"/>
          <w:sz w:val="20"/>
          <w:szCs w:val="20"/>
        </w:rPr>
        <w:t xml:space="preserve">60-day period from the filing of </w:t>
      </w:r>
      <w:r w:rsidR="00523773" w:rsidRPr="007C33E8">
        <w:rPr>
          <w:rFonts w:ascii="GT Walsheim Pro Regular" w:hAnsi="GT Walsheim Pro Regular"/>
          <w:color w:val="3B3838" w:themeColor="background2" w:themeShade="40"/>
          <w:sz w:val="20"/>
          <w:szCs w:val="20"/>
        </w:rPr>
        <w:t>the protest</w:t>
      </w:r>
      <w:r w:rsidR="00E46F2D" w:rsidRPr="007C33E8">
        <w:rPr>
          <w:rFonts w:ascii="GT Walsheim Pro Regular" w:hAnsi="GT Walsheim Pro Regular"/>
          <w:color w:val="3B3838" w:themeColor="background2" w:themeShade="40"/>
          <w:sz w:val="20"/>
          <w:szCs w:val="20"/>
        </w:rPr>
        <w:t>, directed</w:t>
      </w:r>
      <w:r w:rsidR="00C30E56" w:rsidRPr="007C33E8">
        <w:rPr>
          <w:rFonts w:ascii="GT Walsheim Pro Regular" w:hAnsi="GT Walsheim Pro Regular"/>
          <w:color w:val="3B3838" w:themeColor="background2" w:themeShade="40"/>
          <w:sz w:val="20"/>
          <w:szCs w:val="20"/>
        </w:rPr>
        <w:t xml:space="preserve"> the taxpayer </w:t>
      </w:r>
      <w:r w:rsidR="00E46F2D" w:rsidRPr="007C33E8">
        <w:rPr>
          <w:rFonts w:ascii="GT Walsheim Pro Regular" w:hAnsi="GT Walsheim Pro Regular"/>
          <w:color w:val="3B3838" w:themeColor="background2" w:themeShade="40"/>
          <w:sz w:val="20"/>
          <w:szCs w:val="20"/>
        </w:rPr>
        <w:t>to submit additional documents after the said 60-day period</w:t>
      </w:r>
      <w:r w:rsidR="005224FE" w:rsidRPr="007C33E8">
        <w:rPr>
          <w:rFonts w:ascii="GT Walsheim Pro Regular" w:hAnsi="GT Walsheim Pro Regular"/>
          <w:color w:val="3B3838" w:themeColor="background2" w:themeShade="40"/>
          <w:sz w:val="20"/>
          <w:szCs w:val="20"/>
        </w:rPr>
        <w:t>, t</w:t>
      </w:r>
      <w:r w:rsidR="00523773" w:rsidRPr="007C33E8">
        <w:rPr>
          <w:rFonts w:ascii="GT Walsheim Pro Regular" w:hAnsi="GT Walsheim Pro Regular"/>
          <w:color w:val="3B3838" w:themeColor="background2" w:themeShade="40"/>
          <w:sz w:val="20"/>
          <w:szCs w:val="20"/>
        </w:rPr>
        <w:t xml:space="preserve">he CTA held that the 180-day period </w:t>
      </w:r>
      <w:r w:rsidR="00405FE8" w:rsidRPr="007C33E8">
        <w:rPr>
          <w:rFonts w:ascii="GT Walsheim Pro Regular" w:hAnsi="GT Walsheim Pro Regular"/>
          <w:color w:val="3B3838" w:themeColor="background2" w:themeShade="40"/>
          <w:sz w:val="20"/>
          <w:szCs w:val="20"/>
        </w:rPr>
        <w:t>to file a Petition for Review based on</w:t>
      </w:r>
      <w:r w:rsidR="00523773" w:rsidRPr="007C33E8">
        <w:rPr>
          <w:rFonts w:ascii="GT Walsheim Pro Regular" w:hAnsi="GT Walsheim Pro Regular"/>
          <w:color w:val="3B3838" w:themeColor="background2" w:themeShade="40"/>
          <w:sz w:val="20"/>
          <w:szCs w:val="20"/>
        </w:rPr>
        <w:t xml:space="preserve"> the Commissioner’s inaction should be reckoned from the </w:t>
      </w:r>
      <w:r w:rsidR="00405FE8" w:rsidRPr="007C33E8">
        <w:rPr>
          <w:rFonts w:ascii="GT Walsheim Pro Regular" w:hAnsi="GT Walsheim Pro Regular"/>
          <w:color w:val="3B3838" w:themeColor="background2" w:themeShade="40"/>
          <w:sz w:val="20"/>
          <w:szCs w:val="20"/>
        </w:rPr>
        <w:t xml:space="preserve">date </w:t>
      </w:r>
      <w:r w:rsidR="00E46F2D" w:rsidRPr="007C33E8">
        <w:rPr>
          <w:rFonts w:ascii="GT Walsheim Pro Regular" w:hAnsi="GT Walsheim Pro Regular"/>
          <w:color w:val="3B3838" w:themeColor="background2" w:themeShade="40"/>
          <w:sz w:val="20"/>
          <w:szCs w:val="20"/>
        </w:rPr>
        <w:t xml:space="preserve">when </w:t>
      </w:r>
      <w:r w:rsidR="009874D4" w:rsidRPr="007C33E8">
        <w:rPr>
          <w:rFonts w:ascii="GT Walsheim Pro Regular" w:hAnsi="GT Walsheim Pro Regular"/>
          <w:color w:val="3B3838" w:themeColor="background2" w:themeShade="40"/>
          <w:sz w:val="20"/>
          <w:szCs w:val="20"/>
        </w:rPr>
        <w:t>the taxpayer re-</w:t>
      </w:r>
      <w:r w:rsidR="00523773" w:rsidRPr="007C33E8">
        <w:rPr>
          <w:rFonts w:ascii="GT Walsheim Pro Regular" w:hAnsi="GT Walsheim Pro Regular"/>
          <w:color w:val="3B3838" w:themeColor="background2" w:themeShade="40"/>
          <w:sz w:val="20"/>
          <w:szCs w:val="20"/>
        </w:rPr>
        <w:t>submi</w:t>
      </w:r>
      <w:r w:rsidR="009874D4" w:rsidRPr="007C33E8">
        <w:rPr>
          <w:rFonts w:ascii="GT Walsheim Pro Regular" w:hAnsi="GT Walsheim Pro Regular"/>
          <w:color w:val="3B3838" w:themeColor="background2" w:themeShade="40"/>
          <w:sz w:val="20"/>
          <w:szCs w:val="20"/>
        </w:rPr>
        <w:t>tted</w:t>
      </w:r>
      <w:r w:rsidR="00523773" w:rsidRPr="007C33E8">
        <w:rPr>
          <w:rFonts w:ascii="GT Walsheim Pro Regular" w:hAnsi="GT Walsheim Pro Regular"/>
          <w:color w:val="3B3838" w:themeColor="background2" w:themeShade="40"/>
          <w:sz w:val="20"/>
          <w:szCs w:val="20"/>
        </w:rPr>
        <w:t xml:space="preserve"> the supporting documents.</w:t>
      </w:r>
    </w:p>
    <w:p w14:paraId="2AEC6807" w14:textId="77777777" w:rsidR="00981486" w:rsidRPr="00871CF0" w:rsidRDefault="00981486" w:rsidP="007C33E8">
      <w:pPr>
        <w:ind w:left="-567" w:right="-563"/>
        <w:rPr>
          <w:i/>
          <w:iCs/>
        </w:rPr>
      </w:pPr>
    </w:p>
    <w:p w14:paraId="66E6B6EE" w14:textId="1E8E38A4" w:rsidR="00FB0064" w:rsidRPr="007C33E8" w:rsidRDefault="00FB0064" w:rsidP="007C33E8">
      <w:pPr>
        <w:pStyle w:val="Heading1"/>
        <w:spacing w:before="0"/>
        <w:ind w:left="-567" w:right="-563"/>
        <w:jc w:val="both"/>
        <w:rPr>
          <w:rFonts w:ascii="Arial" w:hAnsi="Arial" w:cs="Arial"/>
          <w:color w:val="C45911" w:themeColor="accent2" w:themeShade="BF"/>
          <w:sz w:val="24"/>
          <w:szCs w:val="24"/>
        </w:rPr>
      </w:pPr>
      <w:bookmarkStart w:id="7" w:name="_Toc50141425"/>
      <w:r w:rsidRPr="007C33E8">
        <w:rPr>
          <w:rFonts w:ascii="Arial" w:eastAsia="Calibri" w:hAnsi="Arial" w:cs="Arial"/>
          <w:color w:val="C45911" w:themeColor="accent2" w:themeShade="BF"/>
          <w:sz w:val="24"/>
          <w:szCs w:val="24"/>
        </w:rPr>
        <w:t>Additional Paid In Capital (APIC) should be included in the computation of paid-up capital for purposes of computing Improperly Accumulated Earnings Tax (IAET)</w:t>
      </w:r>
      <w:bookmarkEnd w:id="7"/>
    </w:p>
    <w:p w14:paraId="28D4E5B5" w14:textId="77777777" w:rsidR="002862D8" w:rsidRPr="007C33E8" w:rsidRDefault="002862D8" w:rsidP="007C33E8">
      <w:pPr>
        <w:ind w:left="-567" w:right="-563"/>
        <w:jc w:val="both"/>
        <w:rPr>
          <w:rFonts w:ascii="GT Walsheim Pro Regular" w:hAnsi="GT Walsheim Pro Regular"/>
          <w:b/>
          <w:bCs/>
          <w:sz w:val="20"/>
          <w:szCs w:val="20"/>
        </w:rPr>
      </w:pPr>
      <w:r w:rsidRPr="007C33E8">
        <w:rPr>
          <w:rFonts w:ascii="GT Walsheim Pro Regular" w:hAnsi="GT Walsheim Pro Regular"/>
          <w:b/>
          <w:bCs/>
          <w:sz w:val="20"/>
          <w:szCs w:val="20"/>
        </w:rPr>
        <w:t xml:space="preserve">Commissioner of Internal Revenue vs. Cebu Air, Inc. </w:t>
      </w:r>
    </w:p>
    <w:p w14:paraId="0A7D1C5C" w14:textId="77777777" w:rsidR="002862D8" w:rsidRPr="007C33E8" w:rsidRDefault="002862D8" w:rsidP="007C33E8">
      <w:pPr>
        <w:ind w:left="-567" w:right="-563"/>
        <w:jc w:val="both"/>
        <w:rPr>
          <w:rFonts w:ascii="GT Walsheim Pro Regular" w:hAnsi="GT Walsheim Pro Regular"/>
          <w:b/>
          <w:bCs/>
          <w:iCs/>
          <w:sz w:val="20"/>
          <w:szCs w:val="20"/>
        </w:rPr>
      </w:pPr>
      <w:r w:rsidRPr="007C33E8">
        <w:rPr>
          <w:rFonts w:ascii="GT Walsheim Pro Regular" w:hAnsi="GT Walsheim Pro Regular"/>
          <w:b/>
          <w:bCs/>
          <w:iCs/>
          <w:sz w:val="20"/>
          <w:szCs w:val="20"/>
        </w:rPr>
        <w:t>CTA EB No. 2013</w:t>
      </w:r>
    </w:p>
    <w:p w14:paraId="7CB5B376" w14:textId="77777777" w:rsidR="002862D8" w:rsidRPr="007C33E8" w:rsidRDefault="002862D8" w:rsidP="007C33E8">
      <w:pPr>
        <w:ind w:left="-567" w:right="-563"/>
        <w:jc w:val="both"/>
        <w:rPr>
          <w:rFonts w:ascii="GT Walsheim Pro Regular" w:hAnsi="GT Walsheim Pro Regular"/>
          <w:b/>
          <w:bCs/>
          <w:i/>
          <w:iCs/>
          <w:sz w:val="20"/>
          <w:szCs w:val="20"/>
        </w:rPr>
      </w:pPr>
      <w:r w:rsidRPr="007C33E8">
        <w:rPr>
          <w:rFonts w:ascii="GT Walsheim Pro Regular" w:hAnsi="GT Walsheim Pro Regular"/>
          <w:b/>
          <w:bCs/>
          <w:iCs/>
          <w:sz w:val="20"/>
          <w:szCs w:val="20"/>
        </w:rPr>
        <w:t>June 30, 2020</w:t>
      </w:r>
    </w:p>
    <w:p w14:paraId="329F3A56" w14:textId="77777777" w:rsidR="006124BC" w:rsidRDefault="006124BC" w:rsidP="007C33E8">
      <w:pPr>
        <w:ind w:left="-567" w:right="-563"/>
        <w:jc w:val="both"/>
        <w:rPr>
          <w:rFonts w:ascii="GT Walsheim Pro Regular" w:hAnsi="GT Walsheim Pro Regular"/>
          <w:sz w:val="20"/>
          <w:szCs w:val="20"/>
        </w:rPr>
      </w:pPr>
    </w:p>
    <w:p w14:paraId="10CBAD88" w14:textId="4F9C1A06" w:rsidR="00A66899" w:rsidRPr="007C33E8" w:rsidRDefault="00A66899" w:rsidP="007C33E8">
      <w:pPr>
        <w:spacing w:line="360" w:lineRule="auto"/>
        <w:ind w:left="-567" w:right="-563"/>
        <w:jc w:val="both"/>
        <w:rPr>
          <w:rFonts w:ascii="GT Walsheim Pro Regular" w:hAnsi="GT Walsheim Pro Regular"/>
          <w:sz w:val="20"/>
          <w:szCs w:val="20"/>
        </w:rPr>
      </w:pPr>
      <w:r w:rsidRPr="007C33E8">
        <w:rPr>
          <w:rFonts w:ascii="GT Walsheim Pro Regular" w:hAnsi="GT Walsheim Pro Regular"/>
          <w:sz w:val="20"/>
          <w:szCs w:val="20"/>
        </w:rPr>
        <w:t>APIC is part and parcel of capital and consistent with the definition of paid-up capital under R</w:t>
      </w:r>
      <w:r w:rsidR="003E2EA5" w:rsidRPr="007C33E8">
        <w:rPr>
          <w:rFonts w:ascii="GT Walsheim Pro Regular" w:hAnsi="GT Walsheim Pro Regular"/>
          <w:sz w:val="20"/>
          <w:szCs w:val="20"/>
        </w:rPr>
        <w:t xml:space="preserve">evenue </w:t>
      </w:r>
      <w:r w:rsidRPr="007C33E8">
        <w:rPr>
          <w:rFonts w:ascii="GT Walsheim Pro Regular" w:hAnsi="GT Walsheim Pro Regular"/>
          <w:sz w:val="20"/>
          <w:szCs w:val="20"/>
        </w:rPr>
        <w:t>R</w:t>
      </w:r>
      <w:r w:rsidR="003E2EA5" w:rsidRPr="007C33E8">
        <w:rPr>
          <w:rFonts w:ascii="GT Walsheim Pro Regular" w:hAnsi="GT Walsheim Pro Regular"/>
          <w:sz w:val="20"/>
          <w:szCs w:val="20"/>
        </w:rPr>
        <w:t>egulations</w:t>
      </w:r>
      <w:r w:rsidRPr="007C33E8">
        <w:rPr>
          <w:rFonts w:ascii="GT Walsheim Pro Regular" w:hAnsi="GT Walsheim Pro Regular"/>
          <w:sz w:val="20"/>
          <w:szCs w:val="20"/>
        </w:rPr>
        <w:t xml:space="preserve"> No</w:t>
      </w:r>
      <w:r w:rsidR="00787C4B" w:rsidRPr="007C33E8">
        <w:rPr>
          <w:rFonts w:ascii="GT Walsheim Pro Regular" w:hAnsi="GT Walsheim Pro Regular"/>
          <w:sz w:val="20"/>
          <w:szCs w:val="20"/>
        </w:rPr>
        <w:t>s</w:t>
      </w:r>
      <w:r w:rsidRPr="007C33E8">
        <w:rPr>
          <w:rFonts w:ascii="GT Walsheim Pro Regular" w:hAnsi="GT Walsheim Pro Regular"/>
          <w:sz w:val="20"/>
          <w:szCs w:val="20"/>
        </w:rPr>
        <w:t xml:space="preserve">. 14-01 </w:t>
      </w:r>
      <w:r w:rsidR="00787C4B" w:rsidRPr="007C33E8">
        <w:rPr>
          <w:rFonts w:ascii="GT Walsheim Pro Regular" w:hAnsi="GT Walsheim Pro Regular"/>
          <w:sz w:val="20"/>
          <w:szCs w:val="20"/>
        </w:rPr>
        <w:t xml:space="preserve">and </w:t>
      </w:r>
      <w:r w:rsidRPr="007C33E8">
        <w:rPr>
          <w:rFonts w:ascii="GT Walsheim Pro Regular" w:hAnsi="GT Walsheim Pro Regular"/>
          <w:sz w:val="20"/>
          <w:szCs w:val="20"/>
        </w:rPr>
        <w:t>10-07. It is not earnings or profit</w:t>
      </w:r>
      <w:r w:rsidR="00787C4B" w:rsidRPr="007C33E8">
        <w:rPr>
          <w:rFonts w:ascii="GT Walsheim Pro Regular" w:hAnsi="GT Walsheim Pro Regular"/>
          <w:sz w:val="20"/>
          <w:szCs w:val="20"/>
        </w:rPr>
        <w:t xml:space="preserve"> and thus,</w:t>
      </w:r>
      <w:r w:rsidRPr="007C33E8">
        <w:rPr>
          <w:rFonts w:ascii="GT Walsheim Pro Regular" w:hAnsi="GT Walsheim Pro Regular"/>
          <w:sz w:val="20"/>
          <w:szCs w:val="20"/>
        </w:rPr>
        <w:t xml:space="preserve"> should not be excluded in the computation of reasonable needs of the business for</w:t>
      </w:r>
      <w:r w:rsidR="004C45F3" w:rsidRPr="007C33E8">
        <w:rPr>
          <w:rFonts w:ascii="GT Walsheim Pro Regular" w:hAnsi="GT Walsheim Pro Regular"/>
          <w:sz w:val="20"/>
          <w:szCs w:val="20"/>
        </w:rPr>
        <w:t xml:space="preserve"> </w:t>
      </w:r>
      <w:r w:rsidRPr="007C33E8">
        <w:rPr>
          <w:rFonts w:ascii="GT Walsheim Pro Regular" w:hAnsi="GT Walsheim Pro Regular"/>
          <w:sz w:val="20"/>
          <w:szCs w:val="20"/>
        </w:rPr>
        <w:t>purposes</w:t>
      </w:r>
      <w:r w:rsidR="004C45F3" w:rsidRPr="007C33E8">
        <w:rPr>
          <w:rFonts w:ascii="GT Walsheim Pro Regular" w:hAnsi="GT Walsheim Pro Regular"/>
          <w:sz w:val="20"/>
          <w:szCs w:val="20"/>
        </w:rPr>
        <w:t xml:space="preserve"> of determining IAET</w:t>
      </w:r>
      <w:r w:rsidRPr="007C33E8">
        <w:rPr>
          <w:rFonts w:ascii="GT Walsheim Pro Regular" w:hAnsi="GT Walsheim Pro Regular"/>
          <w:sz w:val="20"/>
          <w:szCs w:val="20"/>
        </w:rPr>
        <w:t xml:space="preserve">. </w:t>
      </w:r>
    </w:p>
    <w:p w14:paraId="539524B4" w14:textId="77777777" w:rsidR="001B516D" w:rsidRPr="00871CF0" w:rsidRDefault="001B516D" w:rsidP="007C33E8">
      <w:pPr>
        <w:pStyle w:val="NormalWeb"/>
        <w:ind w:left="-567"/>
        <w:jc w:val="both"/>
        <w:rPr>
          <w:rFonts w:asciiTheme="minorHAnsi" w:hAnsiTheme="minorHAnsi"/>
          <w:color w:val="ED7D31" w:themeColor="accent2"/>
        </w:rPr>
      </w:pPr>
    </w:p>
    <w:p w14:paraId="1D797056" w14:textId="00C9691B" w:rsidR="00A66899" w:rsidRPr="007C33E8" w:rsidRDefault="00A66899" w:rsidP="007C33E8">
      <w:pPr>
        <w:pStyle w:val="Heading1"/>
        <w:spacing w:before="0"/>
        <w:ind w:left="-567" w:right="-563"/>
        <w:jc w:val="both"/>
        <w:rPr>
          <w:rFonts w:ascii="Arial" w:hAnsi="Arial" w:cs="Arial"/>
          <w:color w:val="C45911" w:themeColor="accent2" w:themeShade="BF"/>
          <w:sz w:val="24"/>
          <w:szCs w:val="24"/>
        </w:rPr>
      </w:pPr>
      <w:bookmarkStart w:id="8" w:name="_Toc50141426"/>
      <w:r w:rsidRPr="007C33E8">
        <w:rPr>
          <w:rFonts w:ascii="Arial" w:hAnsi="Arial" w:cs="Arial"/>
          <w:color w:val="C45911" w:themeColor="accent2" w:themeShade="BF"/>
          <w:sz w:val="24"/>
          <w:szCs w:val="24"/>
        </w:rPr>
        <w:t>The</w:t>
      </w:r>
      <w:r w:rsidR="00A55160" w:rsidRPr="007C33E8">
        <w:rPr>
          <w:rFonts w:ascii="Arial" w:hAnsi="Arial" w:cs="Arial"/>
          <w:color w:val="C45911" w:themeColor="accent2" w:themeShade="BF"/>
          <w:sz w:val="24"/>
          <w:szCs w:val="24"/>
        </w:rPr>
        <w:t xml:space="preserve"> propriety of the</w:t>
      </w:r>
      <w:r w:rsidRPr="007C33E8">
        <w:rPr>
          <w:rFonts w:ascii="Arial" w:hAnsi="Arial" w:cs="Arial"/>
          <w:color w:val="C45911" w:themeColor="accent2" w:themeShade="BF"/>
          <w:sz w:val="24"/>
          <w:szCs w:val="24"/>
        </w:rPr>
        <w:t xml:space="preserve"> issuance of </w:t>
      </w:r>
      <w:r w:rsidR="00CD7537" w:rsidRPr="007C33E8">
        <w:rPr>
          <w:rFonts w:ascii="Arial" w:hAnsi="Arial" w:cs="Arial"/>
          <w:color w:val="C45911" w:themeColor="accent2" w:themeShade="BF"/>
          <w:sz w:val="24"/>
          <w:szCs w:val="24"/>
        </w:rPr>
        <w:t xml:space="preserve">a </w:t>
      </w:r>
      <w:r w:rsidRPr="007C33E8">
        <w:rPr>
          <w:rFonts w:ascii="Arial" w:hAnsi="Arial" w:cs="Arial"/>
          <w:color w:val="C45911" w:themeColor="accent2" w:themeShade="BF"/>
          <w:sz w:val="24"/>
          <w:szCs w:val="24"/>
        </w:rPr>
        <w:t xml:space="preserve">Letter of Authority and </w:t>
      </w:r>
      <w:r w:rsidR="00CD7537" w:rsidRPr="007C33E8">
        <w:rPr>
          <w:rFonts w:ascii="Arial" w:hAnsi="Arial" w:cs="Arial"/>
          <w:color w:val="C45911" w:themeColor="accent2" w:themeShade="BF"/>
          <w:sz w:val="24"/>
          <w:szCs w:val="24"/>
        </w:rPr>
        <w:t xml:space="preserve">a </w:t>
      </w:r>
      <w:r w:rsidRPr="007C33E8">
        <w:rPr>
          <w:rFonts w:ascii="Arial" w:hAnsi="Arial" w:cs="Arial"/>
          <w:i/>
          <w:iCs/>
          <w:color w:val="C45911" w:themeColor="accent2" w:themeShade="BF"/>
          <w:sz w:val="24"/>
          <w:szCs w:val="24"/>
        </w:rPr>
        <w:t>subpoena duces tecum</w:t>
      </w:r>
      <w:r w:rsidRPr="007C33E8">
        <w:rPr>
          <w:rFonts w:ascii="Arial" w:hAnsi="Arial" w:cs="Arial"/>
          <w:color w:val="C45911" w:themeColor="accent2" w:themeShade="BF"/>
          <w:sz w:val="24"/>
          <w:szCs w:val="24"/>
        </w:rPr>
        <w:t xml:space="preserve"> </w:t>
      </w:r>
      <w:r w:rsidR="0036317F" w:rsidRPr="007C33E8">
        <w:rPr>
          <w:rFonts w:ascii="Arial" w:hAnsi="Arial" w:cs="Arial"/>
          <w:color w:val="C45911" w:themeColor="accent2" w:themeShade="BF"/>
          <w:sz w:val="24"/>
          <w:szCs w:val="24"/>
        </w:rPr>
        <w:t>may not be considered as</w:t>
      </w:r>
      <w:r w:rsidRPr="007C33E8">
        <w:rPr>
          <w:rFonts w:ascii="Arial" w:hAnsi="Arial" w:cs="Arial"/>
          <w:color w:val="C45911" w:themeColor="accent2" w:themeShade="BF"/>
          <w:sz w:val="24"/>
          <w:szCs w:val="24"/>
        </w:rPr>
        <w:t xml:space="preserve"> </w:t>
      </w:r>
      <w:r w:rsidR="00C153EE" w:rsidRPr="007C33E8">
        <w:rPr>
          <w:rFonts w:ascii="Arial" w:hAnsi="Arial" w:cs="Arial"/>
          <w:color w:val="C45911" w:themeColor="accent2" w:themeShade="BF"/>
          <w:sz w:val="24"/>
          <w:szCs w:val="24"/>
        </w:rPr>
        <w:t xml:space="preserve">among the </w:t>
      </w:r>
      <w:r w:rsidRPr="007C33E8">
        <w:rPr>
          <w:rFonts w:ascii="Arial" w:hAnsi="Arial" w:cs="Arial"/>
          <w:color w:val="C45911" w:themeColor="accent2" w:themeShade="BF"/>
          <w:sz w:val="24"/>
          <w:szCs w:val="24"/>
        </w:rPr>
        <w:t xml:space="preserve">“other matters” </w:t>
      </w:r>
      <w:r w:rsidR="00787C4B" w:rsidRPr="007C33E8">
        <w:rPr>
          <w:rFonts w:ascii="Arial" w:hAnsi="Arial" w:cs="Arial"/>
          <w:color w:val="C45911" w:themeColor="accent2" w:themeShade="BF"/>
          <w:sz w:val="24"/>
          <w:szCs w:val="24"/>
        </w:rPr>
        <w:t xml:space="preserve">that fall within the jurisdiction of </w:t>
      </w:r>
      <w:r w:rsidRPr="007C33E8">
        <w:rPr>
          <w:rFonts w:ascii="Arial" w:hAnsi="Arial" w:cs="Arial"/>
          <w:color w:val="C45911" w:themeColor="accent2" w:themeShade="BF"/>
          <w:sz w:val="24"/>
          <w:szCs w:val="24"/>
        </w:rPr>
        <w:t xml:space="preserve">the </w:t>
      </w:r>
      <w:r w:rsidR="00C82359" w:rsidRPr="007C33E8">
        <w:rPr>
          <w:rFonts w:ascii="Arial" w:hAnsi="Arial" w:cs="Arial"/>
          <w:color w:val="C45911" w:themeColor="accent2" w:themeShade="BF"/>
          <w:sz w:val="24"/>
          <w:szCs w:val="24"/>
        </w:rPr>
        <w:t>CTA</w:t>
      </w:r>
      <w:r w:rsidR="00787C4B" w:rsidRPr="007C33E8">
        <w:rPr>
          <w:rFonts w:ascii="Arial" w:hAnsi="Arial" w:cs="Arial"/>
          <w:color w:val="C45911" w:themeColor="accent2" w:themeShade="BF"/>
          <w:sz w:val="24"/>
          <w:szCs w:val="24"/>
        </w:rPr>
        <w:t>.</w:t>
      </w:r>
      <w:bookmarkEnd w:id="8"/>
    </w:p>
    <w:p w14:paraId="56D75D92" w14:textId="42F04791" w:rsidR="00A66899" w:rsidRPr="007C33E8" w:rsidRDefault="00A66899" w:rsidP="007C33E8">
      <w:pPr>
        <w:ind w:left="-567" w:right="-563"/>
        <w:jc w:val="both"/>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Golden Donuts, Inc. vs. Commissioner of Internal Revenue</w:t>
      </w:r>
    </w:p>
    <w:p w14:paraId="1F2D8B13" w14:textId="3B0423BE" w:rsidR="00A66899" w:rsidRPr="007C33E8" w:rsidRDefault="00A66899" w:rsidP="007C33E8">
      <w:pPr>
        <w:ind w:left="-567" w:right="-563"/>
        <w:jc w:val="both"/>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CTA EB No. 1866</w:t>
      </w:r>
    </w:p>
    <w:p w14:paraId="313D13FF" w14:textId="77777777" w:rsidR="00A66899" w:rsidRPr="007C33E8" w:rsidRDefault="00A66899" w:rsidP="007C33E8">
      <w:pPr>
        <w:ind w:left="-567" w:right="-563"/>
        <w:jc w:val="both"/>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June 30, 2020</w:t>
      </w:r>
    </w:p>
    <w:p w14:paraId="0F34EB0A" w14:textId="77777777" w:rsidR="00A66899" w:rsidRPr="007C33E8" w:rsidRDefault="00A66899" w:rsidP="007C33E8">
      <w:pPr>
        <w:pStyle w:val="NormalWeb"/>
        <w:ind w:left="-567" w:right="-563"/>
        <w:jc w:val="both"/>
        <w:rPr>
          <w:rFonts w:ascii="GT Walsheim Pro Regular" w:hAnsi="GT Walsheim Pro Regular"/>
          <w:color w:val="3B3838" w:themeColor="background2" w:themeShade="40"/>
          <w:sz w:val="20"/>
          <w:szCs w:val="20"/>
        </w:rPr>
      </w:pPr>
    </w:p>
    <w:p w14:paraId="7C29AA75" w14:textId="183BA730" w:rsidR="00A66899" w:rsidRPr="007C33E8" w:rsidRDefault="00C153EE" w:rsidP="007C33E8">
      <w:pPr>
        <w:pStyle w:val="NormalWeb"/>
        <w:spacing w:line="360" w:lineRule="auto"/>
        <w:ind w:left="-567" w:right="-563"/>
        <w:jc w:val="both"/>
        <w:rPr>
          <w:rFonts w:ascii="GT Walsheim Pro Regular" w:hAnsi="GT Walsheim Pro Regular"/>
          <w:sz w:val="20"/>
          <w:szCs w:val="20"/>
        </w:rPr>
      </w:pPr>
      <w:r w:rsidRPr="007C33E8">
        <w:rPr>
          <w:rFonts w:ascii="GT Walsheim Pro Regular" w:hAnsi="GT Walsheim Pro Regular"/>
          <w:color w:val="3B3838" w:themeColor="background2" w:themeShade="40"/>
          <w:sz w:val="20"/>
          <w:szCs w:val="20"/>
        </w:rPr>
        <w:t>T</w:t>
      </w:r>
      <w:r w:rsidR="000271B3" w:rsidRPr="007C33E8">
        <w:rPr>
          <w:rFonts w:ascii="GT Walsheim Pro Regular" w:hAnsi="GT Walsheim Pro Regular"/>
          <w:color w:val="3B3838" w:themeColor="background2" w:themeShade="40"/>
          <w:sz w:val="20"/>
          <w:szCs w:val="20"/>
        </w:rPr>
        <w:t xml:space="preserve">he </w:t>
      </w:r>
      <w:r w:rsidR="00CD7537" w:rsidRPr="007C33E8">
        <w:rPr>
          <w:rFonts w:ascii="GT Walsheim Pro Regular" w:hAnsi="GT Walsheim Pro Regular"/>
          <w:color w:val="3B3838" w:themeColor="background2" w:themeShade="40"/>
          <w:sz w:val="20"/>
          <w:szCs w:val="20"/>
        </w:rPr>
        <w:t xml:space="preserve">propriety of the </w:t>
      </w:r>
      <w:r w:rsidR="000271B3" w:rsidRPr="007C33E8">
        <w:rPr>
          <w:rFonts w:ascii="GT Walsheim Pro Regular" w:hAnsi="GT Walsheim Pro Regular"/>
          <w:color w:val="3B3838" w:themeColor="background2" w:themeShade="40"/>
          <w:sz w:val="20"/>
          <w:szCs w:val="20"/>
        </w:rPr>
        <w:t xml:space="preserve">issuance of a Letter of Authority and a </w:t>
      </w:r>
      <w:r w:rsidR="000271B3" w:rsidRPr="007C33E8">
        <w:rPr>
          <w:rFonts w:ascii="GT Walsheim Pro Regular" w:hAnsi="GT Walsheim Pro Regular"/>
          <w:i/>
          <w:iCs/>
          <w:color w:val="3B3838" w:themeColor="background2" w:themeShade="40"/>
          <w:sz w:val="20"/>
          <w:szCs w:val="20"/>
        </w:rPr>
        <w:t xml:space="preserve">subpoena duces tecum </w:t>
      </w:r>
      <w:r w:rsidR="000271B3" w:rsidRPr="007C33E8">
        <w:rPr>
          <w:rFonts w:ascii="GT Walsheim Pro Regular" w:hAnsi="GT Walsheim Pro Regular"/>
          <w:color w:val="3B3838" w:themeColor="background2" w:themeShade="40"/>
          <w:sz w:val="20"/>
          <w:szCs w:val="20"/>
        </w:rPr>
        <w:t>in</w:t>
      </w:r>
      <w:r w:rsidRPr="007C33E8">
        <w:rPr>
          <w:rFonts w:ascii="GT Walsheim Pro Regular" w:hAnsi="GT Walsheim Pro Regular"/>
          <w:color w:val="3B3838" w:themeColor="background2" w:themeShade="40"/>
          <w:sz w:val="20"/>
          <w:szCs w:val="20"/>
        </w:rPr>
        <w:t xml:space="preserve"> order to conduct a</w:t>
      </w:r>
      <w:r w:rsidR="00CD7537" w:rsidRPr="007C33E8">
        <w:rPr>
          <w:rFonts w:ascii="GT Walsheim Pro Regular" w:hAnsi="GT Walsheim Pro Regular"/>
          <w:color w:val="3B3838" w:themeColor="background2" w:themeShade="40"/>
          <w:sz w:val="20"/>
          <w:szCs w:val="20"/>
        </w:rPr>
        <w:t>nother</w:t>
      </w:r>
      <w:r w:rsidRPr="007C33E8">
        <w:rPr>
          <w:rFonts w:ascii="GT Walsheim Pro Regular" w:hAnsi="GT Walsheim Pro Regular"/>
          <w:color w:val="3B3838" w:themeColor="background2" w:themeShade="40"/>
          <w:sz w:val="20"/>
          <w:szCs w:val="20"/>
        </w:rPr>
        <w:t xml:space="preserve"> audit examination</w:t>
      </w:r>
      <w:r w:rsidR="00F21C9F" w:rsidRPr="007C33E8">
        <w:rPr>
          <w:rFonts w:ascii="GT Walsheim Pro Regular" w:hAnsi="GT Walsheim Pro Regular"/>
          <w:color w:val="3B3838" w:themeColor="background2" w:themeShade="40"/>
          <w:sz w:val="20"/>
          <w:szCs w:val="20"/>
        </w:rPr>
        <w:t xml:space="preserve"> against the same taxpayer involving</w:t>
      </w:r>
      <w:r w:rsidR="000271B3" w:rsidRPr="007C33E8">
        <w:rPr>
          <w:rFonts w:ascii="GT Walsheim Pro Regular" w:hAnsi="GT Walsheim Pro Regular"/>
          <w:color w:val="3B3838" w:themeColor="background2" w:themeShade="40"/>
          <w:sz w:val="20"/>
          <w:szCs w:val="20"/>
        </w:rPr>
        <w:t xml:space="preserve"> a taxable year that </w:t>
      </w:r>
      <w:r w:rsidR="003D26D0" w:rsidRPr="007C33E8">
        <w:rPr>
          <w:rFonts w:ascii="GT Walsheim Pro Regular" w:hAnsi="GT Walsheim Pro Regular"/>
          <w:color w:val="3B3838" w:themeColor="background2" w:themeShade="40"/>
          <w:sz w:val="20"/>
          <w:szCs w:val="20"/>
        </w:rPr>
        <w:t>h</w:t>
      </w:r>
      <w:r w:rsidR="000271B3" w:rsidRPr="007C33E8">
        <w:rPr>
          <w:rFonts w:ascii="GT Walsheim Pro Regular" w:hAnsi="GT Walsheim Pro Regular"/>
          <w:color w:val="3B3838" w:themeColor="background2" w:themeShade="40"/>
          <w:sz w:val="20"/>
          <w:szCs w:val="20"/>
        </w:rPr>
        <w:t xml:space="preserve">as already </w:t>
      </w:r>
      <w:r w:rsidR="003D26D0" w:rsidRPr="007C33E8">
        <w:rPr>
          <w:rFonts w:ascii="GT Walsheim Pro Regular" w:hAnsi="GT Walsheim Pro Regular"/>
          <w:color w:val="3B3838" w:themeColor="background2" w:themeShade="40"/>
          <w:sz w:val="20"/>
          <w:szCs w:val="20"/>
        </w:rPr>
        <w:t xml:space="preserve">been previously </w:t>
      </w:r>
      <w:r w:rsidR="000271B3" w:rsidRPr="007C33E8">
        <w:rPr>
          <w:rFonts w:ascii="GT Walsheim Pro Regular" w:hAnsi="GT Walsheim Pro Regular"/>
          <w:color w:val="3B3838" w:themeColor="background2" w:themeShade="40"/>
          <w:sz w:val="20"/>
          <w:szCs w:val="20"/>
        </w:rPr>
        <w:t>audited</w:t>
      </w:r>
      <w:r w:rsidR="00A55160" w:rsidRPr="007C33E8">
        <w:rPr>
          <w:rFonts w:ascii="GT Walsheim Pro Regular" w:hAnsi="GT Walsheim Pro Regular"/>
          <w:color w:val="3B3838" w:themeColor="background2" w:themeShade="40"/>
          <w:sz w:val="20"/>
          <w:szCs w:val="20"/>
        </w:rPr>
        <w:t>,</w:t>
      </w:r>
      <w:r w:rsidR="000271B3" w:rsidRPr="007C33E8">
        <w:rPr>
          <w:rFonts w:ascii="GT Walsheim Pro Regular" w:hAnsi="GT Walsheim Pro Regular"/>
          <w:color w:val="3B3838" w:themeColor="background2" w:themeShade="40"/>
          <w:sz w:val="20"/>
          <w:szCs w:val="20"/>
        </w:rPr>
        <w:t xml:space="preserve"> assessed</w:t>
      </w:r>
      <w:r w:rsidR="00A55160" w:rsidRPr="007C33E8">
        <w:rPr>
          <w:rFonts w:ascii="GT Walsheim Pro Regular" w:hAnsi="GT Walsheim Pro Regular"/>
          <w:color w:val="3B3838" w:themeColor="background2" w:themeShade="40"/>
          <w:sz w:val="20"/>
          <w:szCs w:val="20"/>
        </w:rPr>
        <w:t>,</w:t>
      </w:r>
      <w:r w:rsidR="000271B3" w:rsidRPr="007C33E8">
        <w:rPr>
          <w:rFonts w:ascii="GT Walsheim Pro Regular" w:hAnsi="GT Walsheim Pro Regular"/>
          <w:color w:val="3B3838" w:themeColor="background2" w:themeShade="40"/>
          <w:sz w:val="20"/>
          <w:szCs w:val="20"/>
        </w:rPr>
        <w:t xml:space="preserve"> settled</w:t>
      </w:r>
      <w:r w:rsidR="00A55160" w:rsidRPr="007C33E8">
        <w:rPr>
          <w:rFonts w:ascii="GT Walsheim Pro Regular" w:hAnsi="GT Walsheim Pro Regular"/>
          <w:color w:val="3B3838" w:themeColor="background2" w:themeShade="40"/>
          <w:sz w:val="20"/>
          <w:szCs w:val="20"/>
        </w:rPr>
        <w:t>,</w:t>
      </w:r>
      <w:r w:rsidR="000271B3" w:rsidRPr="007C33E8">
        <w:rPr>
          <w:rFonts w:ascii="GT Walsheim Pro Regular" w:hAnsi="GT Walsheim Pro Regular"/>
          <w:color w:val="3B3838" w:themeColor="background2" w:themeShade="40"/>
          <w:sz w:val="20"/>
          <w:szCs w:val="20"/>
        </w:rPr>
        <w:t xml:space="preserve"> and terminated</w:t>
      </w:r>
      <w:r w:rsidR="00B47CE8" w:rsidRPr="007C33E8">
        <w:rPr>
          <w:rFonts w:ascii="GT Walsheim Pro Regular" w:hAnsi="GT Walsheim Pro Regular"/>
          <w:color w:val="3B3838" w:themeColor="background2" w:themeShade="40"/>
          <w:sz w:val="20"/>
          <w:szCs w:val="20"/>
        </w:rPr>
        <w:t xml:space="preserve"> is not considered as</w:t>
      </w:r>
      <w:r w:rsidR="004E3E96" w:rsidRPr="007C33E8">
        <w:rPr>
          <w:rFonts w:ascii="GT Walsheim Pro Regular" w:hAnsi="GT Walsheim Pro Regular"/>
          <w:color w:val="3B3838" w:themeColor="background2" w:themeShade="40"/>
          <w:sz w:val="20"/>
          <w:szCs w:val="20"/>
        </w:rPr>
        <w:t xml:space="preserve"> a decision of the </w:t>
      </w:r>
      <w:r w:rsidR="004E3E96" w:rsidRPr="007C33E8">
        <w:rPr>
          <w:rFonts w:ascii="GT Walsheim Pro Regular" w:hAnsi="GT Walsheim Pro Regular"/>
          <w:sz w:val="20"/>
          <w:szCs w:val="20"/>
        </w:rPr>
        <w:t>Commissioner of Internal Revenue on</w:t>
      </w:r>
      <w:r w:rsidR="00B47CE8" w:rsidRPr="007C33E8">
        <w:rPr>
          <w:rFonts w:ascii="GT Walsheim Pro Regular" w:hAnsi="GT Walsheim Pro Regular"/>
          <w:sz w:val="20"/>
          <w:szCs w:val="20"/>
        </w:rPr>
        <w:t xml:space="preserve"> "other matters arising under the National Internal Revenue Code"</w:t>
      </w:r>
      <w:r w:rsidR="004E3E96" w:rsidRPr="007C33E8">
        <w:rPr>
          <w:rFonts w:ascii="GT Walsheim Pro Regular" w:hAnsi="GT Walsheim Pro Regular"/>
          <w:sz w:val="20"/>
          <w:szCs w:val="20"/>
        </w:rPr>
        <w:t xml:space="preserve"> which</w:t>
      </w:r>
      <w:r w:rsidR="00A66899" w:rsidRPr="007C33E8">
        <w:rPr>
          <w:rFonts w:ascii="GT Walsheim Pro Regular" w:hAnsi="GT Walsheim Pro Regular"/>
          <w:sz w:val="20"/>
          <w:szCs w:val="20"/>
        </w:rPr>
        <w:t xml:space="preserve"> the </w:t>
      </w:r>
      <w:r w:rsidR="00C82359" w:rsidRPr="007C33E8">
        <w:rPr>
          <w:rFonts w:ascii="GT Walsheim Pro Regular" w:hAnsi="GT Walsheim Pro Regular"/>
          <w:sz w:val="20"/>
          <w:szCs w:val="20"/>
        </w:rPr>
        <w:t>CTA</w:t>
      </w:r>
      <w:r w:rsidR="00A66899" w:rsidRPr="007C33E8">
        <w:rPr>
          <w:rFonts w:ascii="GT Walsheim Pro Regular" w:hAnsi="GT Walsheim Pro Regular"/>
          <w:sz w:val="20"/>
          <w:szCs w:val="20"/>
        </w:rPr>
        <w:t xml:space="preserve"> may take cognizance</w:t>
      </w:r>
      <w:r w:rsidR="000271B3" w:rsidRPr="007C33E8">
        <w:rPr>
          <w:rFonts w:ascii="GT Walsheim Pro Regular" w:hAnsi="GT Walsheim Pro Regular"/>
          <w:sz w:val="20"/>
          <w:szCs w:val="20"/>
        </w:rPr>
        <w:t>.</w:t>
      </w:r>
      <w:r w:rsidR="00A66899" w:rsidRPr="007C33E8">
        <w:rPr>
          <w:rFonts w:ascii="GT Walsheim Pro Regular" w:hAnsi="GT Walsheim Pro Regular"/>
          <w:sz w:val="20"/>
          <w:szCs w:val="20"/>
        </w:rPr>
        <w:t xml:space="preserve"> </w:t>
      </w:r>
      <w:r w:rsidR="0094374C" w:rsidRPr="007C33E8">
        <w:rPr>
          <w:rFonts w:ascii="GT Walsheim Pro Regular" w:hAnsi="GT Walsheim Pro Regular"/>
          <w:sz w:val="20"/>
          <w:szCs w:val="20"/>
        </w:rPr>
        <w:t xml:space="preserve">The issuance of a Letter of Authority and a </w:t>
      </w:r>
      <w:r w:rsidR="0094374C" w:rsidRPr="007C33E8">
        <w:rPr>
          <w:rFonts w:ascii="GT Walsheim Pro Regular" w:hAnsi="GT Walsheim Pro Regular"/>
          <w:i/>
          <w:iCs/>
          <w:sz w:val="20"/>
          <w:szCs w:val="20"/>
        </w:rPr>
        <w:t>subpoena duces tecum</w:t>
      </w:r>
      <w:r w:rsidR="000271B3" w:rsidRPr="007C33E8">
        <w:rPr>
          <w:rFonts w:ascii="GT Walsheim Pro Regular" w:hAnsi="GT Walsheim Pro Regular"/>
          <w:sz w:val="20"/>
          <w:szCs w:val="20"/>
        </w:rPr>
        <w:t xml:space="preserve"> </w:t>
      </w:r>
      <w:r w:rsidR="00E57E97" w:rsidRPr="007C33E8">
        <w:rPr>
          <w:rFonts w:ascii="GT Walsheim Pro Regular" w:hAnsi="GT Walsheim Pro Regular"/>
          <w:sz w:val="20"/>
          <w:szCs w:val="20"/>
        </w:rPr>
        <w:t xml:space="preserve">are </w:t>
      </w:r>
      <w:r w:rsidR="00A66899" w:rsidRPr="007C33E8">
        <w:rPr>
          <w:rFonts w:ascii="GT Walsheim Pro Regular" w:hAnsi="GT Walsheim Pro Regular"/>
          <w:sz w:val="20"/>
          <w:szCs w:val="20"/>
        </w:rPr>
        <w:t>interlocutory action</w:t>
      </w:r>
      <w:r w:rsidR="00E57E97" w:rsidRPr="007C33E8">
        <w:rPr>
          <w:rFonts w:ascii="GT Walsheim Pro Regular" w:hAnsi="GT Walsheim Pro Regular"/>
          <w:sz w:val="20"/>
          <w:szCs w:val="20"/>
        </w:rPr>
        <w:t>s</w:t>
      </w:r>
      <w:r w:rsidR="00A66899" w:rsidRPr="007C33E8">
        <w:rPr>
          <w:rFonts w:ascii="GT Walsheim Pro Regular" w:hAnsi="GT Walsheim Pro Regular"/>
          <w:sz w:val="20"/>
          <w:szCs w:val="20"/>
        </w:rPr>
        <w:t xml:space="preserve"> of </w:t>
      </w:r>
      <w:r w:rsidR="000271B3" w:rsidRPr="007C33E8">
        <w:rPr>
          <w:rFonts w:ascii="GT Walsheim Pro Regular" w:hAnsi="GT Walsheim Pro Regular"/>
          <w:sz w:val="20"/>
          <w:szCs w:val="20"/>
        </w:rPr>
        <w:t>the Commissioner</w:t>
      </w:r>
      <w:r w:rsidR="00E57E97" w:rsidRPr="007C33E8">
        <w:rPr>
          <w:rFonts w:ascii="GT Walsheim Pro Regular" w:hAnsi="GT Walsheim Pro Regular"/>
          <w:sz w:val="20"/>
          <w:szCs w:val="20"/>
        </w:rPr>
        <w:t xml:space="preserve">, which cannot be assailed prematurely </w:t>
      </w:r>
      <w:r w:rsidR="00A66899" w:rsidRPr="007C33E8">
        <w:rPr>
          <w:rFonts w:ascii="GT Walsheim Pro Regular" w:hAnsi="GT Walsheim Pro Regular"/>
          <w:sz w:val="20"/>
          <w:szCs w:val="20"/>
        </w:rPr>
        <w:t>prior to the issuance of a final assessment.</w:t>
      </w:r>
    </w:p>
    <w:p w14:paraId="366673B7" w14:textId="77777777" w:rsidR="00F9109A" w:rsidRPr="007C33E8" w:rsidRDefault="00F9109A" w:rsidP="007C33E8"/>
    <w:p w14:paraId="7276DA5F" w14:textId="41298F4A" w:rsidR="005826E0" w:rsidRPr="007C33E8" w:rsidRDefault="005A3659" w:rsidP="007C33E8">
      <w:pPr>
        <w:pStyle w:val="Heading1"/>
        <w:spacing w:before="0"/>
        <w:ind w:left="-567" w:right="-563"/>
        <w:jc w:val="both"/>
        <w:rPr>
          <w:rFonts w:ascii="Arial" w:hAnsi="Arial" w:cs="Arial"/>
          <w:color w:val="C45911" w:themeColor="accent2" w:themeShade="BF"/>
          <w:sz w:val="24"/>
          <w:szCs w:val="24"/>
        </w:rPr>
      </w:pPr>
      <w:bookmarkStart w:id="9" w:name="_Toc50141427"/>
      <w:r w:rsidRPr="007C33E8">
        <w:rPr>
          <w:rFonts w:ascii="Arial" w:hAnsi="Arial" w:cs="Arial"/>
          <w:color w:val="C45911" w:themeColor="accent2" w:themeShade="BF"/>
          <w:sz w:val="24"/>
          <w:szCs w:val="24"/>
        </w:rPr>
        <w:t>A request for reconsideration of the Final Decision on Disputed Assessment pending with the Commissioner must be disclosed in the Certification Against Forum Shopping.</w:t>
      </w:r>
      <w:r w:rsidR="0012556E">
        <w:rPr>
          <w:rFonts w:ascii="Arial" w:hAnsi="Arial" w:cs="Arial"/>
          <w:color w:val="C45911" w:themeColor="accent2" w:themeShade="BF"/>
          <w:sz w:val="24"/>
          <w:szCs w:val="24"/>
        </w:rPr>
        <w:t xml:space="preserve"> </w:t>
      </w:r>
      <w:r w:rsidR="005826E0" w:rsidRPr="007C33E8">
        <w:rPr>
          <w:rFonts w:ascii="Arial" w:hAnsi="Arial" w:cs="Arial"/>
          <w:color w:val="C45911" w:themeColor="accent2" w:themeShade="BF"/>
          <w:sz w:val="24"/>
          <w:szCs w:val="24"/>
        </w:rPr>
        <w:t>A Motion for Suspension of Collection of Taxes is akin to injunction such that it is a strong arm of equity and the applicant must come to Court with equity or with clean hands</w:t>
      </w:r>
      <w:r w:rsidR="008E15AF" w:rsidRPr="007C33E8">
        <w:rPr>
          <w:rFonts w:ascii="Arial" w:hAnsi="Arial" w:cs="Arial"/>
          <w:color w:val="C45911" w:themeColor="accent2" w:themeShade="BF"/>
          <w:sz w:val="24"/>
          <w:szCs w:val="24"/>
        </w:rPr>
        <w:t>.</w:t>
      </w:r>
      <w:bookmarkEnd w:id="9"/>
      <w:r w:rsidRPr="007C33E8">
        <w:rPr>
          <w:rFonts w:ascii="Arial" w:hAnsi="Arial" w:cs="Arial"/>
          <w:color w:val="C45911" w:themeColor="accent2" w:themeShade="BF"/>
          <w:sz w:val="24"/>
          <w:szCs w:val="24"/>
        </w:rPr>
        <w:t xml:space="preserve"> </w:t>
      </w:r>
      <w:bookmarkStart w:id="10" w:name="_Hlk50101778"/>
    </w:p>
    <w:bookmarkEnd w:id="10"/>
    <w:p w14:paraId="54A471DC" w14:textId="77777777" w:rsidR="005826E0" w:rsidRPr="007C33E8" w:rsidRDefault="005826E0" w:rsidP="007C33E8">
      <w:pPr>
        <w:ind w:left="-567" w:right="-563"/>
        <w:jc w:val="both"/>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 xml:space="preserve">Cosmos Bottling Corporation vs. Commissioner of Internal Revenue </w:t>
      </w:r>
    </w:p>
    <w:p w14:paraId="43B0EECC" w14:textId="77777777" w:rsidR="005826E0" w:rsidRPr="007C33E8" w:rsidRDefault="005826E0" w:rsidP="007C33E8">
      <w:pPr>
        <w:ind w:left="-567" w:right="-563"/>
        <w:jc w:val="both"/>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CTA EB No. 2081</w:t>
      </w:r>
    </w:p>
    <w:p w14:paraId="75C5D4D5" w14:textId="77777777" w:rsidR="005826E0" w:rsidRPr="007C33E8" w:rsidRDefault="005826E0" w:rsidP="007C33E8">
      <w:pPr>
        <w:ind w:left="-567" w:right="-563"/>
        <w:jc w:val="both"/>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July 2, 2020</w:t>
      </w:r>
    </w:p>
    <w:p w14:paraId="4182EF95" w14:textId="77777777" w:rsidR="005826E0" w:rsidRPr="007C33E8" w:rsidRDefault="005826E0" w:rsidP="007C33E8">
      <w:pPr>
        <w:ind w:left="-567" w:right="-563"/>
        <w:jc w:val="both"/>
        <w:rPr>
          <w:rFonts w:ascii="GT Walsheim Pro Regular" w:hAnsi="GT Walsheim Pro Regular"/>
          <w:color w:val="3B3838" w:themeColor="background2" w:themeShade="40"/>
          <w:sz w:val="20"/>
          <w:szCs w:val="20"/>
        </w:rPr>
      </w:pPr>
    </w:p>
    <w:p w14:paraId="79805832" w14:textId="69923BA9" w:rsidR="005826E0" w:rsidRPr="007C33E8" w:rsidRDefault="00E57E97" w:rsidP="007C33E8">
      <w:pPr>
        <w:spacing w:line="360" w:lineRule="auto"/>
        <w:ind w:left="-567"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The taxpayer</w:t>
      </w:r>
      <w:r w:rsidR="005826E0" w:rsidRPr="007C33E8">
        <w:rPr>
          <w:rFonts w:ascii="GT Walsheim Pro Regular" w:hAnsi="GT Walsheim Pro Regular"/>
          <w:color w:val="3B3838" w:themeColor="background2" w:themeShade="40"/>
          <w:sz w:val="20"/>
          <w:szCs w:val="20"/>
        </w:rPr>
        <w:t xml:space="preserve"> committed forum shopping by failing to disclose in its Certification Against Forum Shopping the pendency of its July</w:t>
      </w:r>
      <w:r w:rsidR="008F0A37" w:rsidRPr="007C33E8">
        <w:rPr>
          <w:rFonts w:ascii="GT Walsheim Pro Regular" w:hAnsi="GT Walsheim Pro Regular"/>
          <w:color w:val="3B3838" w:themeColor="background2" w:themeShade="40"/>
          <w:sz w:val="20"/>
          <w:szCs w:val="20"/>
        </w:rPr>
        <w:t xml:space="preserve"> 11,</w:t>
      </w:r>
      <w:r w:rsidR="005826E0" w:rsidRPr="007C33E8">
        <w:rPr>
          <w:rFonts w:ascii="GT Walsheim Pro Regular" w:hAnsi="GT Walsheim Pro Regular"/>
          <w:color w:val="3B3838" w:themeColor="background2" w:themeShade="40"/>
          <w:sz w:val="20"/>
          <w:szCs w:val="20"/>
        </w:rPr>
        <w:t xml:space="preserve"> 2016 and</w:t>
      </w:r>
      <w:r w:rsidR="008F0A37" w:rsidRPr="007C33E8">
        <w:rPr>
          <w:rFonts w:ascii="GT Walsheim Pro Regular" w:hAnsi="GT Walsheim Pro Regular"/>
          <w:color w:val="3B3838" w:themeColor="background2" w:themeShade="40"/>
          <w:sz w:val="20"/>
          <w:szCs w:val="20"/>
        </w:rPr>
        <w:t xml:space="preserve"> </w:t>
      </w:r>
      <w:r w:rsidR="005826E0" w:rsidRPr="007C33E8">
        <w:rPr>
          <w:rFonts w:ascii="GT Walsheim Pro Regular" w:hAnsi="GT Walsheim Pro Regular"/>
          <w:color w:val="3B3838" w:themeColor="background2" w:themeShade="40"/>
          <w:sz w:val="20"/>
          <w:szCs w:val="20"/>
        </w:rPr>
        <w:t>July</w:t>
      </w:r>
      <w:r w:rsidR="008F0A37" w:rsidRPr="007C33E8">
        <w:rPr>
          <w:rFonts w:ascii="GT Walsheim Pro Regular" w:hAnsi="GT Walsheim Pro Regular"/>
          <w:color w:val="3B3838" w:themeColor="background2" w:themeShade="40"/>
          <w:sz w:val="20"/>
          <w:szCs w:val="20"/>
        </w:rPr>
        <w:t xml:space="preserve"> 21,</w:t>
      </w:r>
      <w:r w:rsidR="005826E0" w:rsidRPr="007C33E8">
        <w:rPr>
          <w:rFonts w:ascii="GT Walsheim Pro Regular" w:hAnsi="GT Walsheim Pro Regular"/>
          <w:color w:val="3B3838" w:themeColor="background2" w:themeShade="40"/>
          <w:sz w:val="20"/>
          <w:szCs w:val="20"/>
        </w:rPr>
        <w:t xml:space="preserve"> 2016 letters </w:t>
      </w:r>
      <w:r w:rsidR="007F0A22" w:rsidRPr="007C33E8">
        <w:rPr>
          <w:rFonts w:ascii="GT Walsheim Pro Regular" w:hAnsi="GT Walsheim Pro Regular"/>
          <w:color w:val="3B3838" w:themeColor="background2" w:themeShade="40"/>
          <w:sz w:val="20"/>
          <w:szCs w:val="20"/>
        </w:rPr>
        <w:t>requesting that</w:t>
      </w:r>
      <w:r w:rsidR="005826E0" w:rsidRPr="007C33E8">
        <w:rPr>
          <w:rFonts w:ascii="GT Walsheim Pro Regular" w:hAnsi="GT Walsheim Pro Regular"/>
          <w:color w:val="3B3838" w:themeColor="background2" w:themeShade="40"/>
          <w:sz w:val="20"/>
          <w:szCs w:val="20"/>
        </w:rPr>
        <w:t xml:space="preserve"> the Commissioner of Internal Revenue take a second look at the Final Decision on Disputed Assessment. </w:t>
      </w:r>
      <w:r w:rsidR="00222534" w:rsidRPr="007C33E8">
        <w:rPr>
          <w:rFonts w:ascii="GT Walsheim Pro Regular" w:hAnsi="GT Walsheim Pro Regular"/>
          <w:color w:val="3B3838" w:themeColor="background2" w:themeShade="40"/>
          <w:sz w:val="20"/>
          <w:szCs w:val="20"/>
        </w:rPr>
        <w:t>Since the taxpayer</w:t>
      </w:r>
      <w:r w:rsidR="005826E0" w:rsidRPr="007C33E8">
        <w:rPr>
          <w:rFonts w:ascii="GT Walsheim Pro Regular" w:hAnsi="GT Walsheim Pro Regular"/>
          <w:color w:val="3B3838" w:themeColor="background2" w:themeShade="40"/>
          <w:sz w:val="20"/>
          <w:szCs w:val="20"/>
        </w:rPr>
        <w:t xml:space="preserve"> has been unfair</w:t>
      </w:r>
      <w:r w:rsidR="00222534" w:rsidRPr="007C33E8">
        <w:rPr>
          <w:rFonts w:ascii="GT Walsheim Pro Regular" w:hAnsi="GT Walsheim Pro Regular"/>
          <w:color w:val="3B3838" w:themeColor="background2" w:themeShade="40"/>
          <w:sz w:val="20"/>
          <w:szCs w:val="20"/>
        </w:rPr>
        <w:t>,</w:t>
      </w:r>
      <w:r w:rsidR="005826E0" w:rsidRPr="007C33E8">
        <w:rPr>
          <w:rFonts w:ascii="GT Walsheim Pro Regular" w:hAnsi="GT Walsheim Pro Regular"/>
          <w:color w:val="3B3838" w:themeColor="background2" w:themeShade="40"/>
          <w:sz w:val="20"/>
          <w:szCs w:val="20"/>
        </w:rPr>
        <w:t xml:space="preserve"> dishonest, fraudulent, or deceitful as to the controversy in issue</w:t>
      </w:r>
      <w:r w:rsidR="000D3FDB" w:rsidRPr="007C33E8">
        <w:rPr>
          <w:rFonts w:ascii="GT Walsheim Pro Regular" w:hAnsi="GT Walsheim Pro Regular"/>
          <w:color w:val="3B3838" w:themeColor="background2" w:themeShade="40"/>
          <w:sz w:val="20"/>
          <w:szCs w:val="20"/>
        </w:rPr>
        <w:t xml:space="preserve">, </w:t>
      </w:r>
      <w:r w:rsidR="005826E0" w:rsidRPr="007C33E8">
        <w:rPr>
          <w:rFonts w:ascii="GT Walsheim Pro Regular" w:hAnsi="GT Walsheim Pro Regular"/>
          <w:color w:val="3B3838" w:themeColor="background2" w:themeShade="40"/>
          <w:sz w:val="20"/>
          <w:szCs w:val="20"/>
        </w:rPr>
        <w:t xml:space="preserve">the relief of suspension of collection of taxes cannot be granted to </w:t>
      </w:r>
      <w:r w:rsidR="000D3FDB" w:rsidRPr="007C33E8">
        <w:rPr>
          <w:rFonts w:ascii="GT Walsheim Pro Regular" w:hAnsi="GT Walsheim Pro Regular"/>
          <w:color w:val="3B3838" w:themeColor="background2" w:themeShade="40"/>
          <w:sz w:val="20"/>
          <w:szCs w:val="20"/>
        </w:rPr>
        <w:t>the taxpayer</w:t>
      </w:r>
      <w:r w:rsidR="005826E0" w:rsidRPr="007C33E8">
        <w:rPr>
          <w:rFonts w:ascii="GT Walsheim Pro Regular" w:hAnsi="GT Walsheim Pro Regular"/>
          <w:color w:val="3B3838" w:themeColor="background2" w:themeShade="40"/>
          <w:sz w:val="20"/>
          <w:szCs w:val="20"/>
        </w:rPr>
        <w:t>. A Motion for Suspension of Collection of Taxes is akin to injunction such that it is a strong arm of equity</w:t>
      </w:r>
      <w:r w:rsidR="00246D49" w:rsidRPr="007C33E8">
        <w:rPr>
          <w:rFonts w:ascii="GT Walsheim Pro Regular" w:hAnsi="GT Walsheim Pro Regular"/>
          <w:color w:val="3B3838" w:themeColor="background2" w:themeShade="40"/>
          <w:sz w:val="20"/>
          <w:szCs w:val="20"/>
        </w:rPr>
        <w:t xml:space="preserve"> and may </w:t>
      </w:r>
      <w:r w:rsidR="008E15AF" w:rsidRPr="007C33E8">
        <w:rPr>
          <w:rFonts w:ascii="GT Walsheim Pro Regular" w:hAnsi="GT Walsheim Pro Regular"/>
          <w:color w:val="3B3838" w:themeColor="background2" w:themeShade="40"/>
          <w:sz w:val="20"/>
          <w:szCs w:val="20"/>
        </w:rPr>
        <w:t xml:space="preserve">only be applied for by </w:t>
      </w:r>
      <w:r w:rsidR="00C37398" w:rsidRPr="007C33E8">
        <w:rPr>
          <w:rFonts w:ascii="GT Walsheim Pro Regular" w:hAnsi="GT Walsheim Pro Regular"/>
          <w:color w:val="3B3838" w:themeColor="background2" w:themeShade="40"/>
          <w:sz w:val="20"/>
          <w:szCs w:val="20"/>
        </w:rPr>
        <w:t>an applicant</w:t>
      </w:r>
      <w:r w:rsidR="005826E0" w:rsidRPr="007C33E8">
        <w:rPr>
          <w:rFonts w:ascii="GT Walsheim Pro Regular" w:hAnsi="GT Walsheim Pro Regular"/>
          <w:color w:val="3B3838" w:themeColor="background2" w:themeShade="40"/>
          <w:sz w:val="20"/>
          <w:szCs w:val="20"/>
        </w:rPr>
        <w:t xml:space="preserve"> “with equity or with clean hands.”</w:t>
      </w:r>
    </w:p>
    <w:p w14:paraId="7686E601" w14:textId="77777777" w:rsidR="00577D4F" w:rsidRPr="00871CF0" w:rsidRDefault="00577D4F" w:rsidP="003F3986">
      <w:pPr>
        <w:jc w:val="both"/>
        <w:rPr>
          <w:b/>
          <w:bCs/>
        </w:rPr>
      </w:pPr>
    </w:p>
    <w:p w14:paraId="62D6D93D" w14:textId="77777777" w:rsidR="001B516D" w:rsidRPr="00871CF0" w:rsidRDefault="001B516D" w:rsidP="003F3986">
      <w:pPr>
        <w:jc w:val="both"/>
      </w:pPr>
    </w:p>
    <w:p w14:paraId="60796CB9" w14:textId="32E811CE" w:rsidR="00052AF3" w:rsidRPr="007C33E8" w:rsidRDefault="00052AF3" w:rsidP="007C33E8">
      <w:pPr>
        <w:pStyle w:val="Heading1"/>
        <w:spacing w:before="0"/>
        <w:ind w:left="-567" w:right="-563"/>
        <w:rPr>
          <w:rFonts w:ascii="Arial" w:hAnsi="Arial" w:cs="Arial"/>
          <w:b/>
          <w:bCs/>
          <w:color w:val="C45911" w:themeColor="accent2" w:themeShade="BF"/>
          <w:sz w:val="24"/>
          <w:szCs w:val="24"/>
        </w:rPr>
      </w:pPr>
      <w:bookmarkStart w:id="11" w:name="_Toc50141428"/>
      <w:r w:rsidRPr="007C33E8">
        <w:rPr>
          <w:rFonts w:ascii="Arial" w:hAnsi="Arial" w:cs="Arial"/>
          <w:b/>
          <w:bCs/>
          <w:color w:val="C45911" w:themeColor="accent2" w:themeShade="BF"/>
          <w:sz w:val="24"/>
          <w:szCs w:val="24"/>
        </w:rPr>
        <w:t>BUREAU OF INTERNAL REVENUE</w:t>
      </w:r>
      <w:bookmarkEnd w:id="11"/>
    </w:p>
    <w:p w14:paraId="0BFFDB6A" w14:textId="77777777" w:rsidR="008F3207" w:rsidRPr="00871CF0" w:rsidRDefault="008F3207" w:rsidP="007C33E8">
      <w:pPr>
        <w:ind w:left="-567" w:right="-563"/>
      </w:pPr>
    </w:p>
    <w:p w14:paraId="1050BA9E" w14:textId="182D7C09" w:rsidR="001577E2" w:rsidRPr="007C33E8" w:rsidRDefault="00FA7D64" w:rsidP="007C33E8">
      <w:pPr>
        <w:pStyle w:val="Heading1"/>
        <w:spacing w:before="0"/>
        <w:ind w:left="-567" w:right="-563"/>
        <w:rPr>
          <w:rFonts w:ascii="Arial" w:hAnsi="Arial" w:cs="Arial"/>
          <w:b/>
          <w:bCs/>
          <w:color w:val="C45911" w:themeColor="accent2" w:themeShade="BF"/>
          <w:sz w:val="24"/>
          <w:szCs w:val="24"/>
        </w:rPr>
      </w:pPr>
      <w:bookmarkStart w:id="12" w:name="_Toc50141429"/>
      <w:r w:rsidRPr="007C33E8">
        <w:rPr>
          <w:rFonts w:ascii="Arial" w:hAnsi="Arial" w:cs="Arial"/>
          <w:b/>
          <w:bCs/>
          <w:color w:val="C45911" w:themeColor="accent2" w:themeShade="BF"/>
          <w:sz w:val="24"/>
          <w:szCs w:val="24"/>
        </w:rPr>
        <w:t>R</w:t>
      </w:r>
      <w:r w:rsidR="00052AF3" w:rsidRPr="007C33E8">
        <w:rPr>
          <w:rFonts w:ascii="Arial" w:hAnsi="Arial" w:cs="Arial"/>
          <w:b/>
          <w:bCs/>
          <w:color w:val="C45911" w:themeColor="accent2" w:themeShade="BF"/>
          <w:sz w:val="24"/>
          <w:szCs w:val="24"/>
        </w:rPr>
        <w:t>evenue Regulations</w:t>
      </w:r>
      <w:r w:rsidR="001F67F0" w:rsidRPr="007C33E8">
        <w:rPr>
          <w:rFonts w:ascii="Arial" w:hAnsi="Arial" w:cs="Arial"/>
          <w:b/>
          <w:bCs/>
          <w:color w:val="C45911" w:themeColor="accent2" w:themeShade="BF"/>
          <w:sz w:val="24"/>
          <w:szCs w:val="24"/>
        </w:rPr>
        <w:t xml:space="preserve"> (RR)</w:t>
      </w:r>
      <w:bookmarkEnd w:id="12"/>
    </w:p>
    <w:p w14:paraId="696E2BD5" w14:textId="77777777" w:rsidR="008F3207" w:rsidRPr="00871CF0" w:rsidRDefault="008F3207" w:rsidP="007C33E8">
      <w:pPr>
        <w:ind w:left="-567" w:right="-563"/>
        <w:rPr>
          <w:color w:val="C45911" w:themeColor="accent2" w:themeShade="BF"/>
        </w:rPr>
      </w:pPr>
    </w:p>
    <w:p w14:paraId="4F332A5A" w14:textId="09808EAE" w:rsidR="00CE7226" w:rsidRPr="007C33E8" w:rsidRDefault="00CE7226" w:rsidP="007C33E8">
      <w:pPr>
        <w:pStyle w:val="Heading1"/>
        <w:spacing w:before="0"/>
        <w:ind w:left="-567" w:right="-563"/>
        <w:jc w:val="both"/>
        <w:rPr>
          <w:rFonts w:ascii="Arial" w:hAnsi="Arial" w:cs="Arial"/>
          <w:color w:val="C45911" w:themeColor="accent2" w:themeShade="BF"/>
          <w:sz w:val="24"/>
          <w:szCs w:val="24"/>
        </w:rPr>
      </w:pPr>
      <w:bookmarkStart w:id="13" w:name="_Toc50141430"/>
      <w:r w:rsidRPr="007C33E8">
        <w:rPr>
          <w:rFonts w:ascii="Arial" w:hAnsi="Arial" w:cs="Arial"/>
          <w:color w:val="C45911" w:themeColor="accent2" w:themeShade="BF"/>
          <w:sz w:val="24"/>
          <w:szCs w:val="24"/>
        </w:rPr>
        <w:t>Exten</w:t>
      </w:r>
      <w:r w:rsidR="00CD1EE9" w:rsidRPr="007C33E8">
        <w:rPr>
          <w:rFonts w:ascii="Arial" w:hAnsi="Arial" w:cs="Arial"/>
          <w:color w:val="C45911" w:themeColor="accent2" w:themeShade="BF"/>
          <w:sz w:val="24"/>
          <w:szCs w:val="24"/>
        </w:rPr>
        <w:t>sion of</w:t>
      </w:r>
      <w:r w:rsidRPr="007C33E8">
        <w:rPr>
          <w:rFonts w:ascii="Arial" w:hAnsi="Arial" w:cs="Arial"/>
          <w:color w:val="C45911" w:themeColor="accent2" w:themeShade="BF"/>
          <w:sz w:val="24"/>
          <w:szCs w:val="24"/>
        </w:rPr>
        <w:t xml:space="preserve"> </w:t>
      </w:r>
      <w:r w:rsidR="00B74036" w:rsidRPr="007C33E8">
        <w:rPr>
          <w:rFonts w:ascii="Arial" w:hAnsi="Arial" w:cs="Arial"/>
          <w:color w:val="C45911" w:themeColor="accent2" w:themeShade="BF"/>
          <w:sz w:val="24"/>
          <w:szCs w:val="24"/>
        </w:rPr>
        <w:t xml:space="preserve">the </w:t>
      </w:r>
      <w:r w:rsidRPr="007C33E8">
        <w:rPr>
          <w:rFonts w:ascii="Arial" w:hAnsi="Arial" w:cs="Arial"/>
          <w:color w:val="C45911" w:themeColor="accent2" w:themeShade="BF"/>
          <w:sz w:val="24"/>
          <w:szCs w:val="24"/>
        </w:rPr>
        <w:t>Period to Avail Tax Amnesty on Delinquencies</w:t>
      </w:r>
      <w:bookmarkEnd w:id="13"/>
    </w:p>
    <w:p w14:paraId="2887A73A" w14:textId="5EAF208D" w:rsidR="00CE7226" w:rsidRPr="007C33E8" w:rsidRDefault="00CE7226" w:rsidP="007C33E8">
      <w:pPr>
        <w:ind w:left="-567" w:right="-563"/>
        <w:jc w:val="both"/>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RR</w:t>
      </w:r>
      <w:r w:rsidR="001F67F0" w:rsidRPr="007C33E8">
        <w:rPr>
          <w:rFonts w:ascii="GT Walsheim Pro Regular" w:hAnsi="GT Walsheim Pro Regular"/>
          <w:b/>
          <w:bCs/>
          <w:color w:val="3B3838" w:themeColor="background2" w:themeShade="40"/>
          <w:sz w:val="20"/>
          <w:szCs w:val="20"/>
        </w:rPr>
        <w:t xml:space="preserve"> </w:t>
      </w:r>
      <w:r w:rsidRPr="007C33E8">
        <w:rPr>
          <w:rFonts w:ascii="GT Walsheim Pro Regular" w:hAnsi="GT Walsheim Pro Regular"/>
          <w:b/>
          <w:bCs/>
          <w:color w:val="3B3838" w:themeColor="background2" w:themeShade="40"/>
          <w:sz w:val="20"/>
          <w:szCs w:val="20"/>
        </w:rPr>
        <w:t>No. 15-2020</w:t>
      </w:r>
    </w:p>
    <w:p w14:paraId="772722E0" w14:textId="6A14AA0A" w:rsidR="00CE7226" w:rsidRPr="007C33E8" w:rsidRDefault="00CE7226" w:rsidP="007C33E8">
      <w:pPr>
        <w:ind w:left="-567" w:right="-563"/>
        <w:jc w:val="both"/>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June 19, 2020</w:t>
      </w:r>
    </w:p>
    <w:p w14:paraId="3371DE2B" w14:textId="77777777" w:rsidR="00CE7226" w:rsidRPr="007C33E8" w:rsidRDefault="00CE7226" w:rsidP="007C33E8">
      <w:pPr>
        <w:ind w:left="-567" w:right="-563"/>
        <w:jc w:val="both"/>
        <w:rPr>
          <w:rFonts w:ascii="GT Walsheim Pro Regular" w:hAnsi="GT Walsheim Pro Regular"/>
          <w:color w:val="3B3838" w:themeColor="background2" w:themeShade="40"/>
          <w:sz w:val="20"/>
          <w:szCs w:val="20"/>
        </w:rPr>
      </w:pPr>
    </w:p>
    <w:p w14:paraId="3264D597" w14:textId="0CA0C98B" w:rsidR="00CE7226" w:rsidRPr="007C33E8" w:rsidRDefault="00D04157" w:rsidP="007C33E8">
      <w:pPr>
        <w:spacing w:line="360" w:lineRule="auto"/>
        <w:ind w:left="-567"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T</w:t>
      </w:r>
      <w:r w:rsidR="00CE7226" w:rsidRPr="007C33E8">
        <w:rPr>
          <w:rFonts w:ascii="GT Walsheim Pro Regular" w:hAnsi="GT Walsheim Pro Regular"/>
          <w:color w:val="3B3838" w:themeColor="background2" w:themeShade="40"/>
          <w:sz w:val="20"/>
          <w:szCs w:val="20"/>
        </w:rPr>
        <w:t xml:space="preserve">he period </w:t>
      </w:r>
      <w:r w:rsidRPr="007C33E8">
        <w:rPr>
          <w:rFonts w:ascii="GT Walsheim Pro Regular" w:hAnsi="GT Walsheim Pro Regular"/>
          <w:color w:val="3B3838" w:themeColor="background2" w:themeShade="40"/>
          <w:sz w:val="20"/>
          <w:szCs w:val="20"/>
        </w:rPr>
        <w:t>to</w:t>
      </w:r>
      <w:r w:rsidR="001F67F0" w:rsidRPr="007C33E8">
        <w:rPr>
          <w:rFonts w:ascii="GT Walsheim Pro Regular" w:hAnsi="GT Walsheim Pro Regular"/>
          <w:color w:val="3B3838" w:themeColor="background2" w:themeShade="40"/>
          <w:sz w:val="20"/>
          <w:szCs w:val="20"/>
        </w:rPr>
        <w:t xml:space="preserve"> </w:t>
      </w:r>
      <w:r w:rsidR="00CE7226" w:rsidRPr="007C33E8">
        <w:rPr>
          <w:rFonts w:ascii="GT Walsheim Pro Regular" w:hAnsi="GT Walsheim Pro Regular"/>
          <w:color w:val="3B3838" w:themeColor="background2" w:themeShade="40"/>
          <w:sz w:val="20"/>
          <w:szCs w:val="20"/>
        </w:rPr>
        <w:t xml:space="preserve">avail of the Tax Amnesty on Delinquencies (TAD) and </w:t>
      </w:r>
      <w:r w:rsidRPr="007C33E8">
        <w:rPr>
          <w:rFonts w:ascii="GT Walsheim Pro Regular" w:hAnsi="GT Walsheim Pro Regular"/>
          <w:color w:val="3B3838" w:themeColor="background2" w:themeShade="40"/>
          <w:sz w:val="20"/>
          <w:szCs w:val="20"/>
        </w:rPr>
        <w:t>submit</w:t>
      </w:r>
      <w:r w:rsidR="00CE7226" w:rsidRPr="007C33E8">
        <w:rPr>
          <w:rFonts w:ascii="GT Walsheim Pro Regular" w:hAnsi="GT Walsheim Pro Regular"/>
          <w:color w:val="3B3838" w:themeColor="background2" w:themeShade="40"/>
          <w:sz w:val="20"/>
          <w:szCs w:val="20"/>
        </w:rPr>
        <w:t xml:space="preserve"> the complete documentary requirements and proof of payment </w:t>
      </w:r>
      <w:r w:rsidRPr="007C33E8">
        <w:rPr>
          <w:rFonts w:ascii="GT Walsheim Pro Regular" w:hAnsi="GT Walsheim Pro Regular"/>
          <w:color w:val="3B3838" w:themeColor="background2" w:themeShade="40"/>
          <w:sz w:val="20"/>
          <w:szCs w:val="20"/>
        </w:rPr>
        <w:t xml:space="preserve">has been extended to </w:t>
      </w:r>
      <w:r w:rsidR="00CE7226" w:rsidRPr="007C33E8">
        <w:rPr>
          <w:rFonts w:ascii="GT Walsheim Pro Regular" w:hAnsi="GT Walsheim Pro Regular"/>
          <w:color w:val="3B3838" w:themeColor="background2" w:themeShade="40"/>
          <w:sz w:val="20"/>
          <w:szCs w:val="20"/>
        </w:rPr>
        <w:t>until December</w:t>
      </w:r>
      <w:r w:rsidR="008F0A37" w:rsidRPr="007C33E8">
        <w:rPr>
          <w:rFonts w:ascii="GT Walsheim Pro Regular" w:hAnsi="GT Walsheim Pro Regular"/>
          <w:color w:val="3B3838" w:themeColor="background2" w:themeShade="40"/>
          <w:sz w:val="20"/>
          <w:szCs w:val="20"/>
        </w:rPr>
        <w:t xml:space="preserve"> 31,</w:t>
      </w:r>
      <w:r w:rsidR="00CE7226" w:rsidRPr="007C33E8">
        <w:rPr>
          <w:rFonts w:ascii="GT Walsheim Pro Regular" w:hAnsi="GT Walsheim Pro Regular"/>
          <w:color w:val="3B3838" w:themeColor="background2" w:themeShade="40"/>
          <w:sz w:val="20"/>
          <w:szCs w:val="20"/>
        </w:rPr>
        <w:t xml:space="preserve"> 2020.</w:t>
      </w:r>
    </w:p>
    <w:p w14:paraId="27F59881" w14:textId="77777777" w:rsidR="00F9109A" w:rsidRPr="007C33E8" w:rsidRDefault="00F9109A" w:rsidP="007C33E8">
      <w:pPr>
        <w:spacing w:line="360" w:lineRule="auto"/>
        <w:jc w:val="both"/>
        <w:rPr>
          <w:rFonts w:ascii="GT Walsheim Pro Regular" w:hAnsi="GT Walsheim Pro Regular"/>
          <w:color w:val="3B3838" w:themeColor="background2" w:themeShade="40"/>
          <w:sz w:val="20"/>
          <w:szCs w:val="20"/>
        </w:rPr>
      </w:pPr>
    </w:p>
    <w:p w14:paraId="35FF43B2" w14:textId="0F608ED9" w:rsidR="00D04157" w:rsidRPr="007C33E8" w:rsidRDefault="00CE7226" w:rsidP="007C33E8">
      <w:pPr>
        <w:shd w:val="clear" w:color="auto" w:fill="FFFFFF"/>
        <w:spacing w:line="360" w:lineRule="auto"/>
        <w:jc w:val="both"/>
        <w:textAlignment w:val="baseline"/>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 xml:space="preserve">The procedure to avail </w:t>
      </w:r>
      <w:r w:rsidR="001F67F0" w:rsidRPr="007C33E8">
        <w:rPr>
          <w:rFonts w:ascii="GT Walsheim Pro Regular" w:hAnsi="GT Walsheim Pro Regular"/>
          <w:color w:val="3B3838" w:themeColor="background2" w:themeShade="40"/>
          <w:sz w:val="20"/>
          <w:szCs w:val="20"/>
        </w:rPr>
        <w:t xml:space="preserve">the </w:t>
      </w:r>
      <w:r w:rsidRPr="007C33E8">
        <w:rPr>
          <w:rFonts w:ascii="GT Walsheim Pro Regular" w:hAnsi="GT Walsheim Pro Regular"/>
          <w:color w:val="3B3838" w:themeColor="background2" w:themeShade="40"/>
          <w:sz w:val="20"/>
          <w:szCs w:val="20"/>
        </w:rPr>
        <w:t>TAD has</w:t>
      </w:r>
      <w:r w:rsidR="00D04157" w:rsidRPr="007C33E8">
        <w:rPr>
          <w:rFonts w:ascii="GT Walsheim Pro Regular" w:hAnsi="GT Walsheim Pro Regular"/>
          <w:color w:val="3B3838" w:themeColor="background2" w:themeShade="40"/>
          <w:sz w:val="20"/>
          <w:szCs w:val="20"/>
        </w:rPr>
        <w:t xml:space="preserve"> also</w:t>
      </w:r>
      <w:r w:rsidRPr="007C33E8">
        <w:rPr>
          <w:rFonts w:ascii="GT Walsheim Pro Regular" w:hAnsi="GT Walsheim Pro Regular"/>
          <w:color w:val="3B3838" w:themeColor="background2" w:themeShade="40"/>
          <w:sz w:val="20"/>
          <w:szCs w:val="20"/>
        </w:rPr>
        <w:t xml:space="preserve"> been amended to include the following:</w:t>
      </w:r>
    </w:p>
    <w:p w14:paraId="55CC0806" w14:textId="77777777" w:rsidR="00D04157" w:rsidRPr="007C33E8" w:rsidRDefault="00D04157" w:rsidP="007C33E8">
      <w:pPr>
        <w:shd w:val="clear" w:color="auto" w:fill="FFFFFF"/>
        <w:spacing w:line="360" w:lineRule="auto"/>
        <w:jc w:val="both"/>
        <w:textAlignment w:val="baseline"/>
        <w:rPr>
          <w:rFonts w:ascii="GT Walsheim Pro Regular" w:hAnsi="GT Walsheim Pro Regular"/>
          <w:color w:val="3B3838" w:themeColor="background2" w:themeShade="40"/>
          <w:sz w:val="20"/>
          <w:szCs w:val="20"/>
        </w:rPr>
      </w:pPr>
    </w:p>
    <w:p w14:paraId="24126133" w14:textId="77777777" w:rsidR="00CE7226" w:rsidRPr="007C33E8" w:rsidRDefault="00CE7226" w:rsidP="007C33E8">
      <w:pPr>
        <w:numPr>
          <w:ilvl w:val="0"/>
          <w:numId w:val="7"/>
        </w:numPr>
        <w:shd w:val="clear" w:color="auto" w:fill="FFFFFF"/>
        <w:tabs>
          <w:tab w:val="clear" w:pos="720"/>
          <w:tab w:val="left" w:pos="567"/>
        </w:tabs>
        <w:spacing w:line="360" w:lineRule="auto"/>
        <w:ind w:left="567" w:right="-563"/>
        <w:jc w:val="both"/>
        <w:textAlignment w:val="baseline"/>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The concerned BIR Office shall issue the Certificate of Delinquencies/Tax Liabilities within three working days from the date of request. In case of denial, the said BIR Office should state in writing the legal and factual basis thereof.</w:t>
      </w:r>
    </w:p>
    <w:p w14:paraId="70279779" w14:textId="77777777" w:rsidR="00CE7226" w:rsidRPr="007C33E8" w:rsidRDefault="00CE7226" w:rsidP="007C33E8">
      <w:pPr>
        <w:numPr>
          <w:ilvl w:val="0"/>
          <w:numId w:val="7"/>
        </w:numPr>
        <w:shd w:val="clear" w:color="auto" w:fill="FFFFFF"/>
        <w:tabs>
          <w:tab w:val="clear" w:pos="720"/>
          <w:tab w:val="left" w:pos="567"/>
        </w:tabs>
        <w:spacing w:line="360" w:lineRule="auto"/>
        <w:ind w:left="567" w:right="-563"/>
        <w:jc w:val="both"/>
        <w:textAlignment w:val="baseline"/>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The Revenue District Office/Large Taxpayers Division/Large Taxpayers Collection Enforcement Division shall endorse the duly accomplished Tax Amnesty Return and Acceptance Payment Form within one working day from receipt of complete documents.</w:t>
      </w:r>
    </w:p>
    <w:p w14:paraId="39EAF4C5" w14:textId="77777777" w:rsidR="00CE7226" w:rsidRPr="007C33E8" w:rsidRDefault="00CE7226" w:rsidP="007C33E8">
      <w:pPr>
        <w:numPr>
          <w:ilvl w:val="0"/>
          <w:numId w:val="7"/>
        </w:numPr>
        <w:shd w:val="clear" w:color="auto" w:fill="FFFFFF"/>
        <w:tabs>
          <w:tab w:val="clear" w:pos="720"/>
          <w:tab w:val="left" w:pos="567"/>
        </w:tabs>
        <w:spacing w:line="360" w:lineRule="auto"/>
        <w:ind w:left="567" w:right="-563"/>
        <w:jc w:val="both"/>
        <w:textAlignment w:val="baseline"/>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Availment of TAD is considered fully complied with only upon completion of all the steps within the period mentioned above.</w:t>
      </w:r>
    </w:p>
    <w:p w14:paraId="05BCEE21" w14:textId="05BF2B8B" w:rsidR="00CE7226" w:rsidRPr="007C33E8" w:rsidRDefault="00CE7226" w:rsidP="00871CF0">
      <w:pPr>
        <w:jc w:val="both"/>
        <w:rPr>
          <w:color w:val="3B3838" w:themeColor="background2" w:themeShade="40"/>
          <w:shd w:val="clear" w:color="auto" w:fill="FFFFFF"/>
        </w:rPr>
      </w:pPr>
    </w:p>
    <w:p w14:paraId="3C08232F" w14:textId="0654DAE6" w:rsidR="00CE7226" w:rsidRPr="007C33E8" w:rsidRDefault="00CE7226" w:rsidP="007C33E8">
      <w:pPr>
        <w:pStyle w:val="Heading1"/>
        <w:spacing w:before="0"/>
        <w:ind w:left="-567" w:right="-563"/>
        <w:jc w:val="both"/>
        <w:rPr>
          <w:rFonts w:ascii="Arial" w:hAnsi="Arial" w:cs="Arial"/>
          <w:color w:val="C45911" w:themeColor="accent2" w:themeShade="BF"/>
          <w:sz w:val="24"/>
          <w:szCs w:val="24"/>
          <w:shd w:val="clear" w:color="auto" w:fill="FFFFFF"/>
        </w:rPr>
      </w:pPr>
      <w:bookmarkStart w:id="14" w:name="_Toc50141431"/>
      <w:r w:rsidRPr="007C33E8">
        <w:rPr>
          <w:rFonts w:ascii="Arial" w:hAnsi="Arial" w:cs="Arial"/>
          <w:color w:val="C45911" w:themeColor="accent2" w:themeShade="BF"/>
          <w:sz w:val="24"/>
          <w:szCs w:val="24"/>
          <w:shd w:val="clear" w:color="auto" w:fill="FFFFFF"/>
        </w:rPr>
        <w:t>Suspen</w:t>
      </w:r>
      <w:r w:rsidR="00CD1EE9" w:rsidRPr="007C33E8">
        <w:rPr>
          <w:rFonts w:ascii="Arial" w:hAnsi="Arial" w:cs="Arial"/>
          <w:color w:val="C45911" w:themeColor="accent2" w:themeShade="BF"/>
          <w:sz w:val="24"/>
          <w:szCs w:val="24"/>
          <w:shd w:val="clear" w:color="auto" w:fill="FFFFFF"/>
        </w:rPr>
        <w:t>sion of</w:t>
      </w:r>
      <w:r w:rsidRPr="007C33E8">
        <w:rPr>
          <w:rFonts w:ascii="Arial" w:hAnsi="Arial" w:cs="Arial"/>
          <w:color w:val="C45911" w:themeColor="accent2" w:themeShade="BF"/>
          <w:sz w:val="24"/>
          <w:szCs w:val="24"/>
          <w:shd w:val="clear" w:color="auto" w:fill="FFFFFF"/>
        </w:rPr>
        <w:t xml:space="preserve"> the due dates of processing the VAT refund/claim affected by the declaration of the national state of emergency</w:t>
      </w:r>
      <w:bookmarkEnd w:id="14"/>
    </w:p>
    <w:p w14:paraId="2396930C" w14:textId="14951CE7" w:rsidR="00CE7226" w:rsidRPr="007C33E8" w:rsidRDefault="00CE7226" w:rsidP="007C33E8">
      <w:pPr>
        <w:ind w:left="-567"/>
        <w:jc w:val="both"/>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 xml:space="preserve">RR No. 16-2020 </w:t>
      </w:r>
    </w:p>
    <w:p w14:paraId="629401CF" w14:textId="47B1F0FB" w:rsidR="00CE7226" w:rsidRPr="007C33E8" w:rsidRDefault="00CE7226" w:rsidP="007C33E8">
      <w:pPr>
        <w:ind w:left="-567"/>
        <w:jc w:val="both"/>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June 25, 2020</w:t>
      </w:r>
    </w:p>
    <w:p w14:paraId="24EF0E5C" w14:textId="77777777" w:rsidR="00052AF3" w:rsidRPr="007C33E8" w:rsidRDefault="00052AF3" w:rsidP="007C33E8">
      <w:pPr>
        <w:shd w:val="clear" w:color="auto" w:fill="FFFFFF"/>
        <w:ind w:left="-567"/>
        <w:jc w:val="both"/>
        <w:textAlignment w:val="baseline"/>
        <w:rPr>
          <w:color w:val="3B3838" w:themeColor="background2" w:themeShade="40"/>
        </w:rPr>
      </w:pPr>
    </w:p>
    <w:p w14:paraId="680FB189" w14:textId="766B6CEC" w:rsidR="00CE7226" w:rsidRPr="007C33E8" w:rsidRDefault="00CE7226" w:rsidP="007C33E8">
      <w:pPr>
        <w:shd w:val="clear" w:color="auto" w:fill="FFFFFF"/>
        <w:spacing w:line="360" w:lineRule="auto"/>
        <w:ind w:left="-567"/>
        <w:jc w:val="both"/>
        <w:textAlignment w:val="baseline"/>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lastRenderedPageBreak/>
        <w:t xml:space="preserve">The filing of claims for </w:t>
      </w:r>
      <w:r w:rsidR="00CD1EE9" w:rsidRPr="007C33E8">
        <w:rPr>
          <w:rFonts w:ascii="GT Walsheim Pro Regular" w:hAnsi="GT Walsheim Pro Regular"/>
          <w:color w:val="3B3838" w:themeColor="background2" w:themeShade="40"/>
          <w:sz w:val="20"/>
          <w:szCs w:val="20"/>
        </w:rPr>
        <w:t xml:space="preserve">VAT </w:t>
      </w:r>
      <w:r w:rsidRPr="007C33E8">
        <w:rPr>
          <w:rFonts w:ascii="GT Walsheim Pro Regular" w:hAnsi="GT Walsheim Pro Regular"/>
          <w:color w:val="3B3838" w:themeColor="background2" w:themeShade="40"/>
          <w:sz w:val="20"/>
          <w:szCs w:val="20"/>
        </w:rPr>
        <w:t xml:space="preserve">refund </w:t>
      </w:r>
      <w:r w:rsidR="00CD1EE9" w:rsidRPr="007C33E8">
        <w:rPr>
          <w:rFonts w:ascii="GT Walsheim Pro Regular" w:hAnsi="GT Walsheim Pro Regular"/>
          <w:color w:val="3B3838" w:themeColor="background2" w:themeShade="40"/>
          <w:sz w:val="20"/>
          <w:szCs w:val="20"/>
        </w:rPr>
        <w:t xml:space="preserve">pursuant to Section 112 of the Tax Code </w:t>
      </w:r>
      <w:r w:rsidRPr="007C33E8">
        <w:rPr>
          <w:rFonts w:ascii="GT Walsheim Pro Regular" w:hAnsi="GT Walsheim Pro Regular"/>
          <w:color w:val="3B3838" w:themeColor="background2" w:themeShade="40"/>
          <w:sz w:val="20"/>
          <w:szCs w:val="20"/>
        </w:rPr>
        <w:t xml:space="preserve">for the following taxable quarters </w:t>
      </w:r>
      <w:r w:rsidR="003F3986" w:rsidRPr="007C33E8">
        <w:rPr>
          <w:rFonts w:ascii="GT Walsheim Pro Regular" w:hAnsi="GT Walsheim Pro Regular"/>
          <w:color w:val="3B3838" w:themeColor="background2" w:themeShade="40"/>
          <w:sz w:val="20"/>
          <w:szCs w:val="20"/>
        </w:rPr>
        <w:t>has been</w:t>
      </w:r>
      <w:r w:rsidRPr="007C33E8">
        <w:rPr>
          <w:rFonts w:ascii="GT Walsheim Pro Regular" w:hAnsi="GT Walsheim Pro Regular"/>
          <w:color w:val="3B3838" w:themeColor="background2" w:themeShade="40"/>
          <w:sz w:val="20"/>
          <w:szCs w:val="20"/>
        </w:rPr>
        <w:t xml:space="preserve"> extended </w:t>
      </w:r>
      <w:r w:rsidR="003F3986" w:rsidRPr="007C33E8">
        <w:rPr>
          <w:rFonts w:ascii="GT Walsheim Pro Regular" w:hAnsi="GT Walsheim Pro Regular"/>
          <w:color w:val="3B3838" w:themeColor="background2" w:themeShade="40"/>
          <w:sz w:val="20"/>
          <w:szCs w:val="20"/>
        </w:rPr>
        <w:t xml:space="preserve">to </w:t>
      </w:r>
      <w:r w:rsidRPr="007C33E8">
        <w:rPr>
          <w:rFonts w:ascii="GT Walsheim Pro Regular" w:hAnsi="GT Walsheim Pro Regular"/>
          <w:color w:val="3B3838" w:themeColor="background2" w:themeShade="40"/>
          <w:sz w:val="20"/>
          <w:szCs w:val="20"/>
        </w:rPr>
        <w:t>until the following due dates:</w:t>
      </w:r>
    </w:p>
    <w:tbl>
      <w:tblPr>
        <w:tblW w:w="6740" w:type="dxa"/>
        <w:tblInd w:w="284" w:type="dxa"/>
        <w:tblLook w:val="04A0" w:firstRow="1" w:lastRow="0" w:firstColumn="1" w:lastColumn="0" w:noHBand="0" w:noVBand="1"/>
      </w:tblPr>
      <w:tblGrid>
        <w:gridCol w:w="4740"/>
        <w:gridCol w:w="2000"/>
      </w:tblGrid>
      <w:tr w:rsidR="00432C29" w:rsidRPr="00432C29" w14:paraId="490FE771" w14:textId="77777777" w:rsidTr="007C33E8">
        <w:trPr>
          <w:trHeight w:val="640"/>
        </w:trPr>
        <w:tc>
          <w:tcPr>
            <w:tcW w:w="4740" w:type="dxa"/>
            <w:tcBorders>
              <w:top w:val="nil"/>
              <w:left w:val="nil"/>
              <w:bottom w:val="nil"/>
              <w:right w:val="nil"/>
            </w:tcBorders>
            <w:shd w:val="clear" w:color="auto" w:fill="auto"/>
            <w:vAlign w:val="center"/>
            <w:hideMark/>
          </w:tcPr>
          <w:p w14:paraId="3D1AB6C7" w14:textId="77777777" w:rsidR="00CE7226" w:rsidRPr="007C33E8" w:rsidRDefault="00CE7226" w:rsidP="00871CF0">
            <w:pPr>
              <w:jc w:val="both"/>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Taxable Quarter</w:t>
            </w:r>
          </w:p>
        </w:tc>
        <w:tc>
          <w:tcPr>
            <w:tcW w:w="2000" w:type="dxa"/>
            <w:tcBorders>
              <w:top w:val="nil"/>
              <w:left w:val="nil"/>
              <w:bottom w:val="nil"/>
              <w:right w:val="nil"/>
            </w:tcBorders>
            <w:shd w:val="clear" w:color="auto" w:fill="auto"/>
            <w:vAlign w:val="center"/>
            <w:hideMark/>
          </w:tcPr>
          <w:p w14:paraId="44E2BA3F" w14:textId="77777777" w:rsidR="00CE7226" w:rsidRPr="007C33E8" w:rsidRDefault="00CE7226" w:rsidP="00871CF0">
            <w:pPr>
              <w:jc w:val="both"/>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Due Date</w:t>
            </w:r>
          </w:p>
        </w:tc>
      </w:tr>
      <w:tr w:rsidR="00432C29" w:rsidRPr="00432C29" w14:paraId="24DCA83C" w14:textId="77777777" w:rsidTr="007C33E8">
        <w:trPr>
          <w:trHeight w:val="640"/>
        </w:trPr>
        <w:tc>
          <w:tcPr>
            <w:tcW w:w="4740" w:type="dxa"/>
            <w:tcBorders>
              <w:top w:val="nil"/>
              <w:left w:val="nil"/>
              <w:bottom w:val="nil"/>
              <w:right w:val="nil"/>
            </w:tcBorders>
            <w:shd w:val="clear" w:color="auto" w:fill="auto"/>
            <w:vAlign w:val="center"/>
            <w:hideMark/>
          </w:tcPr>
          <w:p w14:paraId="022EAAC1" w14:textId="77777777" w:rsidR="00CE7226" w:rsidRPr="007C33E8" w:rsidRDefault="00CE7226" w:rsidP="00871CF0">
            <w:pPr>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Calendar Quarter ending 31 March 2018</w:t>
            </w:r>
          </w:p>
        </w:tc>
        <w:tc>
          <w:tcPr>
            <w:tcW w:w="2000" w:type="dxa"/>
            <w:tcBorders>
              <w:top w:val="nil"/>
              <w:left w:val="nil"/>
              <w:bottom w:val="nil"/>
              <w:right w:val="nil"/>
            </w:tcBorders>
            <w:shd w:val="clear" w:color="auto" w:fill="auto"/>
            <w:vAlign w:val="center"/>
            <w:hideMark/>
          </w:tcPr>
          <w:p w14:paraId="53595347" w14:textId="77777777" w:rsidR="00CE7226" w:rsidRPr="007C33E8" w:rsidRDefault="00CE7226" w:rsidP="00871CF0">
            <w:pPr>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15-Jul-20</w:t>
            </w:r>
          </w:p>
        </w:tc>
      </w:tr>
      <w:tr w:rsidR="00432C29" w:rsidRPr="00432C29" w14:paraId="156108EF" w14:textId="77777777" w:rsidTr="007C33E8">
        <w:trPr>
          <w:trHeight w:val="640"/>
        </w:trPr>
        <w:tc>
          <w:tcPr>
            <w:tcW w:w="4740" w:type="dxa"/>
            <w:tcBorders>
              <w:top w:val="nil"/>
              <w:left w:val="nil"/>
              <w:bottom w:val="nil"/>
              <w:right w:val="nil"/>
            </w:tcBorders>
            <w:shd w:val="clear" w:color="auto" w:fill="auto"/>
            <w:vAlign w:val="center"/>
            <w:hideMark/>
          </w:tcPr>
          <w:p w14:paraId="402EBD52" w14:textId="77777777" w:rsidR="00CE7226" w:rsidRPr="007C33E8" w:rsidRDefault="00CE7226" w:rsidP="00871CF0">
            <w:pPr>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Fiscal Quarter ending 30 April 2018</w:t>
            </w:r>
          </w:p>
        </w:tc>
        <w:tc>
          <w:tcPr>
            <w:tcW w:w="2000" w:type="dxa"/>
            <w:tcBorders>
              <w:top w:val="nil"/>
              <w:left w:val="nil"/>
              <w:bottom w:val="nil"/>
              <w:right w:val="nil"/>
            </w:tcBorders>
            <w:shd w:val="clear" w:color="auto" w:fill="auto"/>
            <w:vAlign w:val="center"/>
            <w:hideMark/>
          </w:tcPr>
          <w:p w14:paraId="5C21BD1E" w14:textId="77777777" w:rsidR="00CE7226" w:rsidRPr="007C33E8" w:rsidRDefault="00CE7226" w:rsidP="00871CF0">
            <w:pPr>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31-Jul-20</w:t>
            </w:r>
          </w:p>
        </w:tc>
      </w:tr>
      <w:tr w:rsidR="00432C29" w:rsidRPr="00432C29" w14:paraId="11D2FFC3" w14:textId="77777777" w:rsidTr="007C33E8">
        <w:trPr>
          <w:trHeight w:val="640"/>
        </w:trPr>
        <w:tc>
          <w:tcPr>
            <w:tcW w:w="4740" w:type="dxa"/>
            <w:tcBorders>
              <w:top w:val="nil"/>
              <w:left w:val="nil"/>
              <w:bottom w:val="nil"/>
              <w:right w:val="nil"/>
            </w:tcBorders>
            <w:shd w:val="clear" w:color="auto" w:fill="auto"/>
            <w:vAlign w:val="center"/>
            <w:hideMark/>
          </w:tcPr>
          <w:p w14:paraId="46A074EB" w14:textId="77777777" w:rsidR="00CE7226" w:rsidRPr="007C33E8" w:rsidRDefault="00CE7226" w:rsidP="00871CF0">
            <w:pPr>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Fiscal Quarter ending 31 May 2018</w:t>
            </w:r>
          </w:p>
        </w:tc>
        <w:tc>
          <w:tcPr>
            <w:tcW w:w="2000" w:type="dxa"/>
            <w:tcBorders>
              <w:top w:val="nil"/>
              <w:left w:val="nil"/>
              <w:bottom w:val="nil"/>
              <w:right w:val="nil"/>
            </w:tcBorders>
            <w:shd w:val="clear" w:color="auto" w:fill="auto"/>
            <w:vAlign w:val="center"/>
            <w:hideMark/>
          </w:tcPr>
          <w:p w14:paraId="14B228C6" w14:textId="77777777" w:rsidR="00CE7226" w:rsidRPr="007C33E8" w:rsidRDefault="00CE7226" w:rsidP="00871CF0">
            <w:pPr>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15-Aug-20</w:t>
            </w:r>
          </w:p>
        </w:tc>
      </w:tr>
      <w:tr w:rsidR="00432C29" w:rsidRPr="00432C29" w14:paraId="3EAED288" w14:textId="77777777" w:rsidTr="007C33E8">
        <w:trPr>
          <w:trHeight w:val="756"/>
        </w:trPr>
        <w:tc>
          <w:tcPr>
            <w:tcW w:w="4740" w:type="dxa"/>
            <w:tcBorders>
              <w:top w:val="nil"/>
              <w:left w:val="nil"/>
              <w:bottom w:val="nil"/>
              <w:right w:val="nil"/>
            </w:tcBorders>
            <w:shd w:val="clear" w:color="auto" w:fill="auto"/>
            <w:vAlign w:val="center"/>
            <w:hideMark/>
          </w:tcPr>
          <w:p w14:paraId="66AA886C" w14:textId="77777777" w:rsidR="00CE7226" w:rsidRPr="007C33E8" w:rsidRDefault="00CE7226" w:rsidP="00871CF0">
            <w:pPr>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Calendar Quarter ending 30 June 2018</w:t>
            </w:r>
          </w:p>
        </w:tc>
        <w:tc>
          <w:tcPr>
            <w:tcW w:w="2000" w:type="dxa"/>
            <w:tcBorders>
              <w:top w:val="nil"/>
              <w:left w:val="nil"/>
              <w:bottom w:val="nil"/>
              <w:right w:val="nil"/>
            </w:tcBorders>
            <w:shd w:val="clear" w:color="auto" w:fill="auto"/>
            <w:vAlign w:val="center"/>
            <w:hideMark/>
          </w:tcPr>
          <w:p w14:paraId="374073FF" w14:textId="77777777" w:rsidR="00CE7226" w:rsidRPr="007C33E8" w:rsidRDefault="00CE7226" w:rsidP="00871CF0">
            <w:pPr>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31-Aug-20</w:t>
            </w:r>
          </w:p>
        </w:tc>
      </w:tr>
    </w:tbl>
    <w:p w14:paraId="5033AAE5" w14:textId="77777777" w:rsidR="000F5E5A" w:rsidRPr="007C33E8" w:rsidRDefault="000F5E5A" w:rsidP="003F3986">
      <w:pPr>
        <w:shd w:val="clear" w:color="auto" w:fill="FFFFFF"/>
        <w:jc w:val="both"/>
        <w:textAlignment w:val="baseline"/>
        <w:rPr>
          <w:rFonts w:ascii="GT Walsheim Pro Regular" w:hAnsi="GT Walsheim Pro Regular"/>
          <w:color w:val="3B3838" w:themeColor="background2" w:themeShade="40"/>
          <w:sz w:val="4"/>
          <w:szCs w:val="4"/>
        </w:rPr>
      </w:pPr>
    </w:p>
    <w:p w14:paraId="53CF7D87" w14:textId="0798B2DF" w:rsidR="00CE7226" w:rsidRPr="007C33E8" w:rsidRDefault="003F3986" w:rsidP="007C33E8">
      <w:pPr>
        <w:shd w:val="clear" w:color="auto" w:fill="FFFFFF"/>
        <w:spacing w:line="360" w:lineRule="auto"/>
        <w:ind w:left="-567" w:right="-563"/>
        <w:jc w:val="both"/>
        <w:textAlignment w:val="baseline"/>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H</w:t>
      </w:r>
      <w:r w:rsidR="00CE7226" w:rsidRPr="007C33E8">
        <w:rPr>
          <w:rFonts w:ascii="GT Walsheim Pro Regular" w:hAnsi="GT Walsheim Pro Regular"/>
          <w:color w:val="3B3838" w:themeColor="background2" w:themeShade="40"/>
          <w:sz w:val="20"/>
          <w:szCs w:val="20"/>
        </w:rPr>
        <w:t xml:space="preserve">owever, </w:t>
      </w:r>
      <w:r w:rsidRPr="007C33E8">
        <w:rPr>
          <w:rFonts w:ascii="GT Walsheim Pro Regular" w:hAnsi="GT Walsheim Pro Regular"/>
          <w:color w:val="3B3838" w:themeColor="background2" w:themeShade="40"/>
          <w:sz w:val="20"/>
          <w:szCs w:val="20"/>
        </w:rPr>
        <w:t xml:space="preserve">these extended due dates </w:t>
      </w:r>
      <w:r w:rsidR="00CE7226" w:rsidRPr="007C33E8">
        <w:rPr>
          <w:rFonts w:ascii="GT Walsheim Pro Regular" w:hAnsi="GT Walsheim Pro Regular"/>
          <w:color w:val="3B3838" w:themeColor="background2" w:themeShade="40"/>
          <w:sz w:val="20"/>
          <w:szCs w:val="20"/>
        </w:rPr>
        <w:t>do not apply to areas not yet declared to be under General Community Quarantine state. In such case</w:t>
      </w:r>
      <w:r w:rsidR="00443693" w:rsidRPr="007C33E8">
        <w:rPr>
          <w:rFonts w:ascii="GT Walsheim Pro Regular" w:hAnsi="GT Walsheim Pro Regular"/>
          <w:color w:val="3B3838" w:themeColor="background2" w:themeShade="40"/>
          <w:sz w:val="20"/>
          <w:szCs w:val="20"/>
        </w:rPr>
        <w:t>s</w:t>
      </w:r>
      <w:r w:rsidR="00CE7226" w:rsidRPr="007C33E8">
        <w:rPr>
          <w:rFonts w:ascii="GT Walsheim Pro Regular" w:hAnsi="GT Walsheim Pro Regular"/>
          <w:color w:val="3B3838" w:themeColor="background2" w:themeShade="40"/>
          <w:sz w:val="20"/>
          <w:szCs w:val="20"/>
        </w:rPr>
        <w:t>, the deadline shall be 30 days from the lifting of Enhanced Community Quarantine (ECQ) or Modified ECQ in the affected areas of taxpayer-claimant or the dates specified above, whichever comes later.</w:t>
      </w:r>
    </w:p>
    <w:p w14:paraId="2CDBB1BA" w14:textId="77777777" w:rsidR="003F3986" w:rsidRPr="007C33E8" w:rsidRDefault="003F3986" w:rsidP="007C33E8">
      <w:pPr>
        <w:shd w:val="clear" w:color="auto" w:fill="FFFFFF"/>
        <w:spacing w:line="360" w:lineRule="auto"/>
        <w:ind w:left="-567" w:right="-563"/>
        <w:jc w:val="both"/>
        <w:textAlignment w:val="baseline"/>
        <w:rPr>
          <w:rFonts w:ascii="GT Walsheim Pro Regular" w:hAnsi="GT Walsheim Pro Regular"/>
          <w:color w:val="3B3838" w:themeColor="background2" w:themeShade="40"/>
          <w:sz w:val="20"/>
          <w:szCs w:val="20"/>
        </w:rPr>
      </w:pPr>
    </w:p>
    <w:p w14:paraId="5A0F80E1" w14:textId="77777777" w:rsidR="00CE7226" w:rsidRPr="007C33E8" w:rsidRDefault="00CE7226" w:rsidP="007C33E8">
      <w:pPr>
        <w:shd w:val="clear" w:color="auto" w:fill="FFFFFF"/>
        <w:spacing w:line="360" w:lineRule="auto"/>
        <w:ind w:left="-567" w:right="-563"/>
        <w:jc w:val="both"/>
        <w:textAlignment w:val="baseline"/>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Furthermore, the 90-day period of processing VAT refund claims shall be suspended in areas still under ECQ or Modified ECQ.</w:t>
      </w:r>
    </w:p>
    <w:p w14:paraId="1FD0139A" w14:textId="77777777" w:rsidR="00CE7226" w:rsidRPr="00871CF0" w:rsidRDefault="00CE7226" w:rsidP="00871CF0">
      <w:pPr>
        <w:shd w:val="clear" w:color="auto" w:fill="FFFFFF"/>
        <w:jc w:val="both"/>
        <w:textAlignment w:val="baseline"/>
        <w:rPr>
          <w:color w:val="C00000"/>
        </w:rPr>
      </w:pPr>
    </w:p>
    <w:p w14:paraId="0C8CC8F3" w14:textId="0812C305" w:rsidR="00CE7226" w:rsidRPr="007C33E8" w:rsidRDefault="00CE7226" w:rsidP="007C33E8">
      <w:pPr>
        <w:pStyle w:val="Heading1"/>
        <w:spacing w:before="0"/>
        <w:ind w:left="-567" w:right="-563"/>
        <w:jc w:val="both"/>
        <w:rPr>
          <w:rFonts w:ascii="Arial" w:hAnsi="Arial" w:cs="Arial"/>
          <w:color w:val="C45911" w:themeColor="accent2" w:themeShade="BF"/>
          <w:sz w:val="24"/>
          <w:szCs w:val="24"/>
        </w:rPr>
      </w:pPr>
      <w:bookmarkStart w:id="15" w:name="_Toc50141432"/>
      <w:r w:rsidRPr="007C33E8">
        <w:rPr>
          <w:rFonts w:ascii="Arial" w:hAnsi="Arial" w:cs="Arial"/>
          <w:color w:val="C45911" w:themeColor="accent2" w:themeShade="BF"/>
          <w:sz w:val="24"/>
          <w:szCs w:val="24"/>
        </w:rPr>
        <w:t>Tax Neutrality provision of Republic Act No. 11439 (An Act Providing for the Regulation and Organization of Islamic Banks)</w:t>
      </w:r>
      <w:bookmarkEnd w:id="15"/>
    </w:p>
    <w:p w14:paraId="4901A8F7" w14:textId="6494612D" w:rsidR="00CE7226" w:rsidRPr="007C33E8" w:rsidRDefault="001F67F0" w:rsidP="007C33E8">
      <w:pPr>
        <w:shd w:val="clear" w:color="auto" w:fill="FFFFFF"/>
        <w:ind w:left="-567" w:right="-563"/>
        <w:jc w:val="both"/>
        <w:textAlignment w:val="baseline"/>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 xml:space="preserve">RR </w:t>
      </w:r>
      <w:r w:rsidR="00CE7226" w:rsidRPr="007C33E8">
        <w:rPr>
          <w:rFonts w:ascii="GT Walsheim Pro Regular" w:hAnsi="GT Walsheim Pro Regular"/>
          <w:b/>
          <w:bCs/>
          <w:color w:val="3B3838" w:themeColor="background2" w:themeShade="40"/>
          <w:sz w:val="20"/>
          <w:szCs w:val="20"/>
        </w:rPr>
        <w:t xml:space="preserve">No. 17-2020 </w:t>
      </w:r>
    </w:p>
    <w:p w14:paraId="5FBBEB7D" w14:textId="00CED812" w:rsidR="00CE7226" w:rsidRPr="007C33E8" w:rsidRDefault="00CE7226" w:rsidP="007C33E8">
      <w:pPr>
        <w:shd w:val="clear" w:color="auto" w:fill="FFFFFF"/>
        <w:ind w:left="-567" w:right="-563"/>
        <w:jc w:val="both"/>
        <w:textAlignment w:val="baseline"/>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August 7, 2020</w:t>
      </w:r>
    </w:p>
    <w:p w14:paraId="4745F97E" w14:textId="77777777" w:rsidR="00CE7226" w:rsidRPr="007C33E8" w:rsidRDefault="00CE7226" w:rsidP="007C33E8">
      <w:pPr>
        <w:shd w:val="clear" w:color="auto" w:fill="FFFFFF"/>
        <w:ind w:left="-567" w:right="-563"/>
        <w:jc w:val="both"/>
        <w:textAlignment w:val="baseline"/>
        <w:rPr>
          <w:rFonts w:ascii="GT Walsheim Pro Regular" w:hAnsi="GT Walsheim Pro Regular"/>
          <w:b/>
          <w:bCs/>
          <w:color w:val="3B3838" w:themeColor="background2" w:themeShade="40"/>
          <w:sz w:val="20"/>
          <w:szCs w:val="20"/>
        </w:rPr>
      </w:pPr>
    </w:p>
    <w:p w14:paraId="14158779" w14:textId="7BCF772C" w:rsidR="00CE7226" w:rsidRPr="007C33E8" w:rsidRDefault="00CE7226" w:rsidP="007C33E8">
      <w:pPr>
        <w:shd w:val="clear" w:color="auto" w:fill="FFFFFF"/>
        <w:spacing w:line="360" w:lineRule="auto"/>
        <w:ind w:left="-567" w:right="-563"/>
        <w:jc w:val="both"/>
        <w:textAlignment w:val="baseline"/>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The tax treatment of Islamic banking arrangements should be based on their economic substance rather than their form. Where an Islamic banking arrangement is economically equivalent to a conventional bank product, the tax treatment of the two should be the same.</w:t>
      </w:r>
    </w:p>
    <w:p w14:paraId="611BD9A1" w14:textId="77777777" w:rsidR="002A4F55" w:rsidRPr="007C33E8" w:rsidRDefault="002A4F55" w:rsidP="007C33E8">
      <w:pPr>
        <w:shd w:val="clear" w:color="auto" w:fill="FFFFFF"/>
        <w:spacing w:line="360" w:lineRule="auto"/>
        <w:jc w:val="both"/>
        <w:textAlignment w:val="baseline"/>
        <w:rPr>
          <w:rFonts w:ascii="GT Walsheim Pro Regular" w:hAnsi="GT Walsheim Pro Regular"/>
          <w:color w:val="3B3838" w:themeColor="background2" w:themeShade="40"/>
          <w:sz w:val="20"/>
          <w:szCs w:val="20"/>
        </w:rPr>
      </w:pPr>
    </w:p>
    <w:p w14:paraId="50656D0C" w14:textId="7AABF6F8" w:rsidR="002A4F55" w:rsidRPr="007C33E8" w:rsidRDefault="00CE7226" w:rsidP="007C33E8">
      <w:pPr>
        <w:pStyle w:val="ListParagraph"/>
        <w:numPr>
          <w:ilvl w:val="0"/>
          <w:numId w:val="20"/>
        </w:numPr>
        <w:shd w:val="clear" w:color="auto" w:fill="FFFFFF"/>
        <w:spacing w:line="360" w:lineRule="auto"/>
        <w:ind w:right="-563"/>
        <w:jc w:val="both"/>
        <w:textAlignment w:val="baseline"/>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 xml:space="preserve">Any reference to interest shall apply to gains or profits received and expenses incurred in Islamic banking arrangements, in lieu of interest income and/or expenses under the conventional banking transactions. </w:t>
      </w:r>
    </w:p>
    <w:p w14:paraId="0922FB37" w14:textId="322E77E3" w:rsidR="006744B8" w:rsidRPr="007C33E8" w:rsidRDefault="00CE7226" w:rsidP="007C33E8">
      <w:pPr>
        <w:pStyle w:val="ListParagraph"/>
        <w:numPr>
          <w:ilvl w:val="0"/>
          <w:numId w:val="20"/>
        </w:numPr>
        <w:shd w:val="clear" w:color="auto" w:fill="FFFFFF"/>
        <w:spacing w:line="360" w:lineRule="auto"/>
        <w:ind w:right="-563"/>
        <w:jc w:val="both"/>
        <w:textAlignment w:val="baseline"/>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 xml:space="preserve">Any reference to a disposal or lease of an asset shall not apply to any disposal or lease of an asset by or to a person that is carried out in accordance with Islamic banking arrangements, as defined by the BSP; Provided that the resulting tax effect on the Islamic banking arrangement would approximate or be similar to that applicable to the corresponding conventional banking transactions. </w:t>
      </w:r>
    </w:p>
    <w:p w14:paraId="47F45FB5" w14:textId="3BBA199B" w:rsidR="00CE7226" w:rsidRPr="007C33E8" w:rsidRDefault="00CE7226" w:rsidP="007C33E8">
      <w:pPr>
        <w:pStyle w:val="ListParagraph"/>
        <w:numPr>
          <w:ilvl w:val="0"/>
          <w:numId w:val="20"/>
        </w:numPr>
        <w:shd w:val="clear" w:color="auto" w:fill="FFFFFF"/>
        <w:spacing w:line="360" w:lineRule="auto"/>
        <w:ind w:right="-563"/>
        <w:jc w:val="both"/>
        <w:textAlignment w:val="baseline"/>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 xml:space="preserve">Any reference to an instrument that is carried out in accordance with Islamic banking arrangements, as defined by the </w:t>
      </w:r>
      <w:proofErr w:type="spellStart"/>
      <w:r w:rsidRPr="007C33E8">
        <w:rPr>
          <w:rFonts w:ascii="GT Walsheim Pro Regular" w:hAnsi="GT Walsheim Pro Regular"/>
          <w:color w:val="3B3838" w:themeColor="background2" w:themeShade="40"/>
          <w:sz w:val="20"/>
          <w:szCs w:val="20"/>
        </w:rPr>
        <w:t>B</w:t>
      </w:r>
      <w:r w:rsidR="006744B8" w:rsidRPr="007C33E8">
        <w:rPr>
          <w:rFonts w:ascii="GT Walsheim Pro Regular" w:hAnsi="GT Walsheim Pro Regular"/>
          <w:color w:val="3B3838" w:themeColor="background2" w:themeShade="40"/>
          <w:sz w:val="20"/>
          <w:szCs w:val="20"/>
        </w:rPr>
        <w:t>angko</w:t>
      </w:r>
      <w:proofErr w:type="spellEnd"/>
      <w:r w:rsidR="006744B8" w:rsidRPr="007C33E8">
        <w:rPr>
          <w:rFonts w:ascii="GT Walsheim Pro Regular" w:hAnsi="GT Walsheim Pro Regular"/>
          <w:color w:val="3B3838" w:themeColor="background2" w:themeShade="40"/>
          <w:sz w:val="20"/>
          <w:szCs w:val="20"/>
        </w:rPr>
        <w:t xml:space="preserve"> </w:t>
      </w:r>
      <w:proofErr w:type="spellStart"/>
      <w:r w:rsidRPr="007C33E8">
        <w:rPr>
          <w:rFonts w:ascii="GT Walsheim Pro Regular" w:hAnsi="GT Walsheim Pro Regular"/>
          <w:color w:val="3B3838" w:themeColor="background2" w:themeShade="40"/>
          <w:sz w:val="20"/>
          <w:szCs w:val="20"/>
        </w:rPr>
        <w:t>S</w:t>
      </w:r>
      <w:r w:rsidR="006744B8" w:rsidRPr="007C33E8">
        <w:rPr>
          <w:rFonts w:ascii="GT Walsheim Pro Regular" w:hAnsi="GT Walsheim Pro Regular"/>
          <w:color w:val="3B3838" w:themeColor="background2" w:themeShade="40"/>
          <w:sz w:val="20"/>
          <w:szCs w:val="20"/>
        </w:rPr>
        <w:t>entral</w:t>
      </w:r>
      <w:proofErr w:type="spellEnd"/>
      <w:r w:rsidR="006744B8" w:rsidRPr="007C33E8">
        <w:rPr>
          <w:rFonts w:ascii="GT Walsheim Pro Regular" w:hAnsi="GT Walsheim Pro Regular"/>
          <w:color w:val="3B3838" w:themeColor="background2" w:themeShade="40"/>
          <w:sz w:val="20"/>
          <w:szCs w:val="20"/>
        </w:rPr>
        <w:t xml:space="preserve"> ng </w:t>
      </w:r>
      <w:proofErr w:type="spellStart"/>
      <w:r w:rsidRPr="007C33E8">
        <w:rPr>
          <w:rFonts w:ascii="GT Walsheim Pro Regular" w:hAnsi="GT Walsheim Pro Regular"/>
          <w:color w:val="3B3838" w:themeColor="background2" w:themeShade="40"/>
          <w:sz w:val="20"/>
          <w:szCs w:val="20"/>
        </w:rPr>
        <w:t>P</w:t>
      </w:r>
      <w:r w:rsidR="006744B8" w:rsidRPr="007C33E8">
        <w:rPr>
          <w:rFonts w:ascii="GT Walsheim Pro Regular" w:hAnsi="GT Walsheim Pro Regular"/>
          <w:color w:val="3B3838" w:themeColor="background2" w:themeShade="40"/>
          <w:sz w:val="20"/>
          <w:szCs w:val="20"/>
        </w:rPr>
        <w:t>ilipinas</w:t>
      </w:r>
      <w:proofErr w:type="spellEnd"/>
      <w:r w:rsidRPr="007C33E8">
        <w:rPr>
          <w:rFonts w:ascii="GT Walsheim Pro Regular" w:hAnsi="GT Walsheim Pro Regular"/>
          <w:color w:val="3B3838" w:themeColor="background2" w:themeShade="40"/>
          <w:sz w:val="20"/>
          <w:szCs w:val="20"/>
        </w:rPr>
        <w:t xml:space="preserve">, which produces an additional instrument required for the purpose of compliance with </w:t>
      </w:r>
      <w:proofErr w:type="spellStart"/>
      <w:r w:rsidRPr="007C33E8">
        <w:rPr>
          <w:rFonts w:ascii="GT Walsheim Pro Regular" w:hAnsi="GT Walsheim Pro Regular"/>
          <w:color w:val="3B3838" w:themeColor="background2" w:themeShade="40"/>
          <w:sz w:val="20"/>
          <w:szCs w:val="20"/>
        </w:rPr>
        <w:t>Shari</w:t>
      </w:r>
      <w:r w:rsidR="006744B8" w:rsidRPr="007C33E8">
        <w:rPr>
          <w:rFonts w:ascii="GT Walsheim Pro Regular" w:hAnsi="GT Walsheim Pro Regular"/>
          <w:color w:val="3B3838" w:themeColor="background2" w:themeShade="40"/>
          <w:sz w:val="20"/>
          <w:szCs w:val="20"/>
        </w:rPr>
        <w:t>’</w:t>
      </w:r>
      <w:r w:rsidRPr="007C33E8">
        <w:rPr>
          <w:rFonts w:ascii="GT Walsheim Pro Regular" w:hAnsi="GT Walsheim Pro Regular"/>
          <w:color w:val="3B3838" w:themeColor="background2" w:themeShade="40"/>
          <w:sz w:val="20"/>
          <w:szCs w:val="20"/>
        </w:rPr>
        <w:t>ah</w:t>
      </w:r>
      <w:proofErr w:type="spellEnd"/>
      <w:r w:rsidRPr="007C33E8">
        <w:rPr>
          <w:rFonts w:ascii="GT Walsheim Pro Regular" w:hAnsi="GT Walsheim Pro Regular"/>
          <w:color w:val="3B3838" w:themeColor="background2" w:themeShade="40"/>
          <w:sz w:val="20"/>
          <w:szCs w:val="20"/>
        </w:rPr>
        <w:t xml:space="preserve"> principles but which will not be required in any other conventional banking transactions, shall be deemed excluded for taxation purposes.</w:t>
      </w:r>
    </w:p>
    <w:p w14:paraId="05086D50" w14:textId="6D75167D" w:rsidR="00CE7226" w:rsidRPr="007C33E8" w:rsidRDefault="00CE7226" w:rsidP="007C33E8">
      <w:pPr>
        <w:shd w:val="clear" w:color="auto" w:fill="FFFFFF"/>
        <w:spacing w:line="360" w:lineRule="auto"/>
        <w:ind w:left="-567" w:right="-563"/>
        <w:jc w:val="both"/>
        <w:textAlignment w:val="baseline"/>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lastRenderedPageBreak/>
        <w:t>For purposes of the Regulations, an Islamic Bank shall ensure that financial statements are prepared in accordance with the Philippine Financial Reporting Standards (PFRS) taking into account the differences between Islamic and conventional banking transactions.</w:t>
      </w:r>
      <w:r w:rsidR="001F67F0" w:rsidRPr="007C33E8">
        <w:rPr>
          <w:rFonts w:ascii="GT Walsheim Pro Regular" w:hAnsi="GT Walsheim Pro Regular"/>
          <w:color w:val="3B3838" w:themeColor="background2" w:themeShade="40"/>
          <w:sz w:val="20"/>
          <w:szCs w:val="20"/>
        </w:rPr>
        <w:t xml:space="preserve"> </w:t>
      </w:r>
      <w:r w:rsidRPr="007C33E8">
        <w:rPr>
          <w:rFonts w:ascii="GT Walsheim Pro Regular" w:hAnsi="GT Walsheim Pro Regular"/>
          <w:color w:val="3B3838" w:themeColor="background2" w:themeShade="40"/>
          <w:sz w:val="20"/>
          <w:szCs w:val="20"/>
        </w:rPr>
        <w:t xml:space="preserve">Authorized conventional banks with Islamic banking arrangements shall maintain a system segregating the transactions of the Islamic banking unit from its conventional banking business. </w:t>
      </w:r>
    </w:p>
    <w:p w14:paraId="2393E025" w14:textId="77777777" w:rsidR="006744B8" w:rsidRPr="007C33E8" w:rsidRDefault="006744B8" w:rsidP="007C33E8">
      <w:pPr>
        <w:shd w:val="clear" w:color="auto" w:fill="FFFFFF"/>
        <w:spacing w:line="360" w:lineRule="auto"/>
        <w:ind w:left="-567"/>
        <w:jc w:val="both"/>
        <w:textAlignment w:val="baseline"/>
        <w:rPr>
          <w:rFonts w:ascii="GT Walsheim Pro Regular" w:hAnsi="GT Walsheim Pro Regular"/>
          <w:color w:val="3B3838" w:themeColor="background2" w:themeShade="40"/>
          <w:sz w:val="20"/>
          <w:szCs w:val="20"/>
        </w:rPr>
      </w:pPr>
    </w:p>
    <w:p w14:paraId="2F563F46" w14:textId="626284D3" w:rsidR="00CE7226" w:rsidRPr="007C33E8" w:rsidRDefault="00CE7226" w:rsidP="007C33E8">
      <w:pPr>
        <w:shd w:val="clear" w:color="auto" w:fill="FFFFFF"/>
        <w:spacing w:line="360" w:lineRule="auto"/>
        <w:ind w:left="-567" w:right="-563"/>
        <w:jc w:val="both"/>
        <w:textAlignment w:val="baseline"/>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Authorized Islamic banks shall register with the Bureau of Internal Revenue similar to a conventional bank following the existing guidelines on business registration.</w:t>
      </w:r>
      <w:r w:rsidR="006744B8" w:rsidRPr="007C33E8">
        <w:rPr>
          <w:rFonts w:ascii="GT Walsheim Pro Regular" w:hAnsi="GT Walsheim Pro Regular"/>
          <w:color w:val="3B3838" w:themeColor="background2" w:themeShade="40"/>
          <w:sz w:val="20"/>
          <w:szCs w:val="20"/>
        </w:rPr>
        <w:t xml:space="preserve"> </w:t>
      </w:r>
      <w:r w:rsidRPr="007C33E8">
        <w:rPr>
          <w:rFonts w:ascii="GT Walsheim Pro Regular" w:hAnsi="GT Walsheim Pro Regular"/>
          <w:color w:val="3B3838" w:themeColor="background2" w:themeShade="40"/>
          <w:sz w:val="20"/>
          <w:szCs w:val="20"/>
        </w:rPr>
        <w:t>Islamic banks, including conventional banks with Islamic banking windows, shall issue receipt on profits/gains/fees derived from its banking operations.</w:t>
      </w:r>
    </w:p>
    <w:p w14:paraId="788E7FD2" w14:textId="77777777" w:rsidR="006744B8" w:rsidRPr="00871CF0" w:rsidRDefault="006744B8" w:rsidP="007C33E8">
      <w:pPr>
        <w:shd w:val="clear" w:color="auto" w:fill="FFFFFF"/>
        <w:ind w:left="-567"/>
        <w:jc w:val="both"/>
        <w:textAlignment w:val="baseline"/>
        <w:rPr>
          <w:color w:val="000000" w:themeColor="text1"/>
        </w:rPr>
      </w:pPr>
    </w:p>
    <w:p w14:paraId="41268134" w14:textId="3FECA8AE" w:rsidR="00CE7226" w:rsidRPr="007C33E8" w:rsidRDefault="00CE7226" w:rsidP="007C33E8">
      <w:pPr>
        <w:pStyle w:val="Heading1"/>
        <w:spacing w:before="0"/>
        <w:ind w:left="-567" w:right="-563"/>
        <w:jc w:val="both"/>
        <w:rPr>
          <w:rFonts w:ascii="Arial" w:hAnsi="Arial" w:cs="Arial"/>
          <w:color w:val="C45911" w:themeColor="accent2" w:themeShade="BF"/>
          <w:sz w:val="24"/>
          <w:szCs w:val="24"/>
        </w:rPr>
      </w:pPr>
      <w:bookmarkStart w:id="16" w:name="_Toc50141433"/>
      <w:r w:rsidRPr="007C33E8">
        <w:rPr>
          <w:rFonts w:ascii="Arial" w:hAnsi="Arial" w:cs="Arial"/>
          <w:color w:val="C45911" w:themeColor="accent2" w:themeShade="BF"/>
          <w:sz w:val="24"/>
          <w:szCs w:val="24"/>
        </w:rPr>
        <w:t xml:space="preserve">VAT Exemption on the sales and importation of drugs and medicines prescribed for diabetes, high cholesterol, hypertension, cancer, mental illness, </w:t>
      </w:r>
      <w:r w:rsidR="001F67F0" w:rsidRPr="007C33E8">
        <w:rPr>
          <w:rFonts w:ascii="Arial" w:hAnsi="Arial" w:cs="Arial"/>
          <w:color w:val="C45911" w:themeColor="accent2" w:themeShade="BF"/>
          <w:sz w:val="24"/>
          <w:szCs w:val="24"/>
        </w:rPr>
        <w:t>tuberculosis,</w:t>
      </w:r>
      <w:r w:rsidRPr="007C33E8">
        <w:rPr>
          <w:rFonts w:ascii="Arial" w:hAnsi="Arial" w:cs="Arial"/>
          <w:color w:val="C45911" w:themeColor="accent2" w:themeShade="BF"/>
          <w:sz w:val="24"/>
          <w:szCs w:val="24"/>
        </w:rPr>
        <w:t xml:space="preserve"> and kidney diseases</w:t>
      </w:r>
      <w:bookmarkEnd w:id="16"/>
    </w:p>
    <w:p w14:paraId="57899CCF" w14:textId="155771EE" w:rsidR="00CE7226" w:rsidRPr="007C33E8" w:rsidRDefault="00CE7226" w:rsidP="007C33E8">
      <w:pPr>
        <w:shd w:val="clear" w:color="auto" w:fill="FFFFFF"/>
        <w:ind w:left="-567" w:right="-563"/>
        <w:jc w:val="both"/>
        <w:textAlignment w:val="baseline"/>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 xml:space="preserve">RR No. 18-2020 </w:t>
      </w:r>
    </w:p>
    <w:p w14:paraId="555193BB" w14:textId="0D894F39" w:rsidR="00CE7226" w:rsidRPr="007C33E8" w:rsidRDefault="00CE7226" w:rsidP="007C33E8">
      <w:pPr>
        <w:shd w:val="clear" w:color="auto" w:fill="FFFFFF"/>
        <w:ind w:left="-567" w:right="-563"/>
        <w:jc w:val="both"/>
        <w:textAlignment w:val="baseline"/>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July 8, 2020</w:t>
      </w:r>
    </w:p>
    <w:p w14:paraId="359D414E" w14:textId="77777777" w:rsidR="00CE7226" w:rsidRPr="007C33E8" w:rsidRDefault="00CE7226" w:rsidP="007C33E8">
      <w:pPr>
        <w:shd w:val="clear" w:color="auto" w:fill="FFFFFF"/>
        <w:ind w:left="-567" w:right="-563"/>
        <w:jc w:val="both"/>
        <w:textAlignment w:val="baseline"/>
        <w:rPr>
          <w:rFonts w:ascii="GT Walsheim Pro Regular" w:hAnsi="GT Walsheim Pro Regular"/>
          <w:color w:val="3B3838" w:themeColor="background2" w:themeShade="40"/>
          <w:sz w:val="20"/>
          <w:szCs w:val="20"/>
        </w:rPr>
      </w:pPr>
    </w:p>
    <w:p w14:paraId="6CDF150A" w14:textId="77777777" w:rsidR="00CE7226" w:rsidRPr="007C33E8" w:rsidRDefault="00CE7226" w:rsidP="007C33E8">
      <w:pPr>
        <w:shd w:val="clear" w:color="auto" w:fill="FFFFFF"/>
        <w:spacing w:line="360" w:lineRule="auto"/>
        <w:ind w:left="-567" w:right="-563"/>
        <w:jc w:val="both"/>
        <w:textAlignment w:val="baseline"/>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RR No. 18-2020 implements Section 1 of Republic Act (RA) No. 11467, further amending Section 109(AA) of the National Internal Revenue Code (NIRC) of 1997, as amended by RA No. 10963 (TRAIN Law), providing for Value-Added Tax (VAT) Exemption on the sales and importation of drugs and medicines prescribed for diabetes, high cholesterol, hypertension, cancer, mental illness, tuberculosis and kidney diseases.</w:t>
      </w:r>
    </w:p>
    <w:p w14:paraId="7E317425" w14:textId="77777777" w:rsidR="00F80D84" w:rsidRPr="007C33E8" w:rsidRDefault="00F80D84" w:rsidP="007C33E8">
      <w:pPr>
        <w:pStyle w:val="Heading1"/>
        <w:spacing w:before="0"/>
        <w:ind w:left="-567"/>
        <w:rPr>
          <w:rFonts w:asciiTheme="minorHAnsi" w:hAnsiTheme="minorHAnsi" w:cs="Times New Roman"/>
          <w:color w:val="3B3838" w:themeColor="background2" w:themeShade="40"/>
          <w:sz w:val="24"/>
          <w:szCs w:val="24"/>
        </w:rPr>
      </w:pPr>
    </w:p>
    <w:p w14:paraId="6DF96EAA" w14:textId="16694C60" w:rsidR="00CE7226" w:rsidRPr="007C33E8" w:rsidRDefault="00CE7226" w:rsidP="007C33E8">
      <w:pPr>
        <w:pStyle w:val="Heading1"/>
        <w:spacing w:before="0"/>
        <w:ind w:left="-567" w:right="-563"/>
        <w:jc w:val="both"/>
        <w:rPr>
          <w:rFonts w:ascii="Arial" w:hAnsi="Arial" w:cs="Arial"/>
          <w:color w:val="C45911" w:themeColor="accent2" w:themeShade="BF"/>
          <w:sz w:val="24"/>
          <w:szCs w:val="24"/>
        </w:rPr>
      </w:pPr>
      <w:bookmarkStart w:id="17" w:name="_Toc50141434"/>
      <w:r w:rsidRPr="007C33E8">
        <w:rPr>
          <w:rFonts w:ascii="Arial" w:hAnsi="Arial" w:cs="Arial"/>
          <w:color w:val="C45911" w:themeColor="accent2" w:themeShade="BF"/>
          <w:sz w:val="24"/>
          <w:szCs w:val="24"/>
        </w:rPr>
        <w:t>New BIR Form No. 1709 - Information Return on Transactions with Related Party (Domestic and/or Foreign)</w:t>
      </w:r>
      <w:bookmarkEnd w:id="17"/>
    </w:p>
    <w:p w14:paraId="3B5ACE4A" w14:textId="04DB22E7" w:rsidR="00CE7226" w:rsidRPr="007C33E8" w:rsidRDefault="00CE7226" w:rsidP="007C33E8">
      <w:pPr>
        <w:shd w:val="clear" w:color="auto" w:fill="FFFFFF"/>
        <w:ind w:left="-567" w:right="-563"/>
        <w:jc w:val="both"/>
        <w:textAlignment w:val="baseline"/>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 xml:space="preserve">RR No. 19-2020 </w:t>
      </w:r>
    </w:p>
    <w:p w14:paraId="25A8C60D" w14:textId="28657DB8" w:rsidR="00CE7226" w:rsidRPr="007C33E8" w:rsidRDefault="00CE7226" w:rsidP="007C33E8">
      <w:pPr>
        <w:shd w:val="clear" w:color="auto" w:fill="FFFFFF"/>
        <w:ind w:left="-567" w:right="-563"/>
        <w:jc w:val="both"/>
        <w:textAlignment w:val="baseline"/>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July 8, 2020</w:t>
      </w:r>
    </w:p>
    <w:p w14:paraId="56C29A0B" w14:textId="77777777" w:rsidR="00CE7226" w:rsidRPr="007C33E8" w:rsidRDefault="00CE7226" w:rsidP="007C33E8">
      <w:pPr>
        <w:shd w:val="clear" w:color="auto" w:fill="FFFFFF"/>
        <w:ind w:left="-567" w:right="-563"/>
        <w:jc w:val="both"/>
        <w:textAlignment w:val="baseline"/>
        <w:rPr>
          <w:rFonts w:ascii="GT Walsheim Pro Regular" w:hAnsi="GT Walsheim Pro Regular"/>
          <w:color w:val="3B3838" w:themeColor="background2" w:themeShade="40"/>
          <w:sz w:val="20"/>
          <w:szCs w:val="20"/>
        </w:rPr>
      </w:pPr>
    </w:p>
    <w:p w14:paraId="029C701E" w14:textId="77777777" w:rsidR="00CE7226" w:rsidRPr="007C33E8" w:rsidRDefault="00CE7226" w:rsidP="007C33E8">
      <w:pPr>
        <w:shd w:val="clear" w:color="auto" w:fill="FFFFFF"/>
        <w:spacing w:line="360" w:lineRule="auto"/>
        <w:ind w:left="-567" w:right="-563"/>
        <w:jc w:val="both"/>
        <w:textAlignment w:val="baseline"/>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RR No. 19-2020 prescribes the use of the new BIR Form No. 1709 or the Information Return on Transactions with Related Party (Domestic and/or Foreign), replacing for this purpose BIR Form 1702H or the Information Return on Transactions with Related Foreign Persons, series of 1992.</w:t>
      </w:r>
    </w:p>
    <w:p w14:paraId="2EB97999" w14:textId="77777777" w:rsidR="006744B8" w:rsidRPr="007C33E8" w:rsidRDefault="006744B8" w:rsidP="007C33E8">
      <w:pPr>
        <w:shd w:val="clear" w:color="auto" w:fill="FFFFFF"/>
        <w:spacing w:line="360" w:lineRule="auto"/>
        <w:ind w:left="-567" w:right="-563"/>
        <w:jc w:val="both"/>
        <w:textAlignment w:val="baseline"/>
        <w:rPr>
          <w:rFonts w:ascii="GT Walsheim Pro Regular" w:hAnsi="GT Walsheim Pro Regular"/>
          <w:color w:val="3B3838" w:themeColor="background2" w:themeShade="40"/>
          <w:sz w:val="20"/>
          <w:szCs w:val="20"/>
        </w:rPr>
      </w:pPr>
    </w:p>
    <w:p w14:paraId="4685D363" w14:textId="78600904" w:rsidR="00CE7226" w:rsidRPr="007C33E8" w:rsidRDefault="00CE7226" w:rsidP="007C33E8">
      <w:pPr>
        <w:shd w:val="clear" w:color="auto" w:fill="FFFFFF"/>
        <w:spacing w:line="360" w:lineRule="auto"/>
        <w:ind w:left="-567" w:right="-563"/>
        <w:jc w:val="both"/>
        <w:textAlignment w:val="baseline"/>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For tax purposes, there should be an effective implementation of Philippine Accounting Standards (PAS) 24, Related Party disclosures. Under PAS</w:t>
      </w:r>
      <w:r w:rsidR="006744B8" w:rsidRPr="007C33E8">
        <w:rPr>
          <w:rFonts w:ascii="GT Walsheim Pro Regular" w:hAnsi="GT Walsheim Pro Regular"/>
          <w:color w:val="3B3838" w:themeColor="background2" w:themeShade="40"/>
          <w:sz w:val="20"/>
          <w:szCs w:val="20"/>
        </w:rPr>
        <w:t xml:space="preserve"> 24</w:t>
      </w:r>
      <w:r w:rsidRPr="007C33E8">
        <w:rPr>
          <w:rFonts w:ascii="GT Walsheim Pro Regular" w:hAnsi="GT Walsheim Pro Regular"/>
          <w:color w:val="3B3838" w:themeColor="background2" w:themeShade="40"/>
          <w:sz w:val="20"/>
          <w:szCs w:val="20"/>
        </w:rPr>
        <w:t>, an entity</w:t>
      </w:r>
      <w:r w:rsidR="006744B8" w:rsidRPr="007C33E8">
        <w:rPr>
          <w:rFonts w:ascii="GT Walsheim Pro Regular" w:hAnsi="GT Walsheim Pro Regular"/>
          <w:color w:val="3B3838" w:themeColor="background2" w:themeShade="40"/>
          <w:sz w:val="20"/>
          <w:szCs w:val="20"/>
        </w:rPr>
        <w:t>’</w:t>
      </w:r>
      <w:r w:rsidRPr="007C33E8">
        <w:rPr>
          <w:rFonts w:ascii="GT Walsheim Pro Regular" w:hAnsi="GT Walsheim Pro Regular"/>
          <w:color w:val="3B3838" w:themeColor="background2" w:themeShade="40"/>
          <w:sz w:val="20"/>
          <w:szCs w:val="20"/>
        </w:rPr>
        <w:t xml:space="preserve">s financial statements shall contain the disclosures necessary to draw attention to the possibility that its financial position and profit or loss may have been affected by the existence of related parties and by transactions and outstanding balances, including commitments, with such parties. </w:t>
      </w:r>
    </w:p>
    <w:p w14:paraId="6B43FDC2" w14:textId="77777777" w:rsidR="00D861D9" w:rsidRPr="007C33E8" w:rsidRDefault="00D861D9" w:rsidP="007C33E8">
      <w:pPr>
        <w:shd w:val="clear" w:color="auto" w:fill="FFFFFF"/>
        <w:spacing w:line="360" w:lineRule="auto"/>
        <w:ind w:right="-563"/>
        <w:jc w:val="both"/>
        <w:textAlignment w:val="baseline"/>
        <w:rPr>
          <w:rFonts w:ascii="GT Walsheim Pro Regular" w:hAnsi="GT Walsheim Pro Regular"/>
          <w:color w:val="3B3838" w:themeColor="background2" w:themeShade="40"/>
          <w:sz w:val="20"/>
          <w:szCs w:val="20"/>
        </w:rPr>
      </w:pPr>
    </w:p>
    <w:p w14:paraId="170B686B" w14:textId="2A6AECFF" w:rsidR="00CE7226" w:rsidRPr="007C33E8" w:rsidRDefault="00CE7226" w:rsidP="007C33E8">
      <w:pPr>
        <w:shd w:val="clear" w:color="auto" w:fill="FFFFFF"/>
        <w:spacing w:line="360" w:lineRule="auto"/>
        <w:ind w:left="-567" w:right="-563"/>
        <w:jc w:val="both"/>
        <w:textAlignment w:val="baseline"/>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 xml:space="preserve">The submission of BIR Form No. 1709 and its supporting documents is required following the guidelines prescribed by the related revenue issuances for the submission of the required attachments to the Annual Income Tax Returns. </w:t>
      </w:r>
    </w:p>
    <w:p w14:paraId="6312C43B" w14:textId="77777777" w:rsidR="00D861D9" w:rsidRPr="007C33E8" w:rsidRDefault="00D861D9" w:rsidP="007C33E8">
      <w:pPr>
        <w:shd w:val="clear" w:color="auto" w:fill="FFFFFF"/>
        <w:spacing w:line="360" w:lineRule="auto"/>
        <w:ind w:left="-567" w:right="-563"/>
        <w:jc w:val="both"/>
        <w:textAlignment w:val="baseline"/>
        <w:rPr>
          <w:rFonts w:ascii="GT Walsheim Pro Regular" w:hAnsi="GT Walsheim Pro Regular"/>
          <w:color w:val="3B3838" w:themeColor="background2" w:themeShade="40"/>
          <w:sz w:val="20"/>
          <w:szCs w:val="20"/>
        </w:rPr>
      </w:pPr>
    </w:p>
    <w:p w14:paraId="2BB1871F" w14:textId="61FF0437" w:rsidR="00CE7226" w:rsidRPr="007C33E8" w:rsidRDefault="00CE7226" w:rsidP="007C33E8">
      <w:pPr>
        <w:shd w:val="clear" w:color="auto" w:fill="FFFFFF"/>
        <w:spacing w:line="360" w:lineRule="auto"/>
        <w:ind w:left="-567" w:right="-563"/>
        <w:jc w:val="both"/>
        <w:textAlignment w:val="baseline"/>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Tax examiners are enjoined to conduct a thorough examination of the related party transactions and see to it that revenues are not understated and expenses are not overstated in the financial statements as a result of these transactions.</w:t>
      </w:r>
    </w:p>
    <w:p w14:paraId="0F51AAB1" w14:textId="77777777" w:rsidR="00D861D9" w:rsidRPr="007C33E8" w:rsidRDefault="00D861D9" w:rsidP="007C33E8">
      <w:pPr>
        <w:shd w:val="clear" w:color="auto" w:fill="FFFFFF"/>
        <w:spacing w:line="360" w:lineRule="auto"/>
        <w:jc w:val="both"/>
        <w:textAlignment w:val="baseline"/>
        <w:rPr>
          <w:rFonts w:ascii="GT Walsheim Pro Regular" w:hAnsi="GT Walsheim Pro Regular"/>
          <w:color w:val="3B3838" w:themeColor="background2" w:themeShade="40"/>
          <w:sz w:val="20"/>
          <w:szCs w:val="20"/>
        </w:rPr>
      </w:pPr>
    </w:p>
    <w:p w14:paraId="54997738" w14:textId="12867824" w:rsidR="00CE7226" w:rsidRPr="007C33E8" w:rsidRDefault="00CE7226" w:rsidP="007C33E8">
      <w:pPr>
        <w:shd w:val="clear" w:color="auto" w:fill="FFFFFF"/>
        <w:spacing w:line="360" w:lineRule="auto"/>
        <w:ind w:left="-567"/>
        <w:jc w:val="both"/>
        <w:textAlignment w:val="baseline"/>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lastRenderedPageBreak/>
        <w:t xml:space="preserve">The salient provisions of RR No. 19-2020 </w:t>
      </w:r>
      <w:r w:rsidR="005742DC" w:rsidRPr="007C33E8">
        <w:rPr>
          <w:rFonts w:ascii="GT Walsheim Pro Regular" w:hAnsi="GT Walsheim Pro Regular"/>
          <w:color w:val="3B3838" w:themeColor="background2" w:themeShade="40"/>
          <w:sz w:val="20"/>
          <w:szCs w:val="20"/>
        </w:rPr>
        <w:t>are</w:t>
      </w:r>
      <w:r w:rsidRPr="007C33E8">
        <w:rPr>
          <w:rFonts w:ascii="GT Walsheim Pro Regular" w:hAnsi="GT Walsheim Pro Regular"/>
          <w:color w:val="3B3838" w:themeColor="background2" w:themeShade="40"/>
          <w:sz w:val="20"/>
          <w:szCs w:val="20"/>
        </w:rPr>
        <w:t xml:space="preserve"> the following:</w:t>
      </w:r>
    </w:p>
    <w:p w14:paraId="7615C9B5" w14:textId="77777777" w:rsidR="00D861D9" w:rsidRPr="007C33E8" w:rsidRDefault="00D861D9" w:rsidP="007C33E8">
      <w:pPr>
        <w:shd w:val="clear" w:color="auto" w:fill="FFFFFF"/>
        <w:spacing w:line="360" w:lineRule="auto"/>
        <w:ind w:right="-563"/>
        <w:jc w:val="both"/>
        <w:textAlignment w:val="baseline"/>
        <w:rPr>
          <w:rFonts w:ascii="GT Walsheim Pro Regular" w:hAnsi="GT Walsheim Pro Regular"/>
          <w:color w:val="000000" w:themeColor="text1"/>
          <w:sz w:val="20"/>
          <w:szCs w:val="20"/>
        </w:rPr>
      </w:pPr>
    </w:p>
    <w:p w14:paraId="1E7F79B6" w14:textId="77777777" w:rsidR="00CE7226" w:rsidRPr="007C33E8" w:rsidRDefault="00CE7226" w:rsidP="007C33E8">
      <w:pPr>
        <w:pStyle w:val="ListParagraph"/>
        <w:numPr>
          <w:ilvl w:val="0"/>
          <w:numId w:val="8"/>
        </w:numPr>
        <w:shd w:val="clear" w:color="auto" w:fill="FFFFFF"/>
        <w:spacing w:after="0" w:line="360" w:lineRule="auto"/>
        <w:ind w:right="-563"/>
        <w:contextualSpacing w:val="0"/>
        <w:jc w:val="both"/>
        <w:textAlignment w:val="baseline"/>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The rules to be considered in determining related parties and related party transactions in accordance with PAS 24;</w:t>
      </w:r>
    </w:p>
    <w:p w14:paraId="1B6CF0D8" w14:textId="77777777" w:rsidR="00CE7226" w:rsidRPr="007C33E8" w:rsidRDefault="00CE7226" w:rsidP="007C33E8">
      <w:pPr>
        <w:pStyle w:val="ListParagraph"/>
        <w:numPr>
          <w:ilvl w:val="0"/>
          <w:numId w:val="8"/>
        </w:numPr>
        <w:shd w:val="clear" w:color="auto" w:fill="FFFFFF"/>
        <w:spacing w:after="0" w:line="360" w:lineRule="auto"/>
        <w:ind w:right="-563"/>
        <w:contextualSpacing w:val="0"/>
        <w:jc w:val="both"/>
        <w:textAlignment w:val="baseline"/>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 xml:space="preserve">The required disclosures on related party transactions and outstanding balances which shall be presented separately per related party; and </w:t>
      </w:r>
    </w:p>
    <w:p w14:paraId="3D604B03" w14:textId="77777777" w:rsidR="00CE7226" w:rsidRPr="007C33E8" w:rsidRDefault="00CE7226" w:rsidP="007C33E8">
      <w:pPr>
        <w:pStyle w:val="ListParagraph"/>
        <w:numPr>
          <w:ilvl w:val="0"/>
          <w:numId w:val="8"/>
        </w:numPr>
        <w:shd w:val="clear" w:color="auto" w:fill="FFFFFF"/>
        <w:spacing w:after="0" w:line="360" w:lineRule="auto"/>
        <w:ind w:right="-563"/>
        <w:contextualSpacing w:val="0"/>
        <w:jc w:val="both"/>
        <w:textAlignment w:val="baseline"/>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 xml:space="preserve">The rules that the taxpayer must observe in filling out BIR Form No. 1709 </w:t>
      </w:r>
    </w:p>
    <w:p w14:paraId="74BD8C4C" w14:textId="77777777" w:rsidR="00D861D9" w:rsidRPr="007C33E8" w:rsidRDefault="00D861D9" w:rsidP="007C33E8">
      <w:pPr>
        <w:pStyle w:val="ListParagraph"/>
        <w:shd w:val="clear" w:color="auto" w:fill="FFFFFF"/>
        <w:spacing w:after="0" w:line="360" w:lineRule="auto"/>
        <w:ind w:left="1440" w:right="-563"/>
        <w:contextualSpacing w:val="0"/>
        <w:jc w:val="both"/>
        <w:textAlignment w:val="baseline"/>
        <w:rPr>
          <w:rFonts w:ascii="GT Walsheim Pro Regular" w:hAnsi="GT Walsheim Pro Regular"/>
          <w:color w:val="3B3838" w:themeColor="background2" w:themeShade="40"/>
          <w:sz w:val="20"/>
          <w:szCs w:val="20"/>
        </w:rPr>
      </w:pPr>
    </w:p>
    <w:p w14:paraId="322A82F0" w14:textId="3DDD7AD1" w:rsidR="00CE7226" w:rsidRPr="007C33E8" w:rsidRDefault="00CE7226" w:rsidP="007C33E8">
      <w:pPr>
        <w:pStyle w:val="ListParagraph"/>
        <w:numPr>
          <w:ilvl w:val="1"/>
          <w:numId w:val="9"/>
        </w:numPr>
        <w:shd w:val="clear" w:color="auto" w:fill="FFFFFF"/>
        <w:spacing w:after="0" w:line="360" w:lineRule="auto"/>
        <w:ind w:left="1080" w:right="-563"/>
        <w:contextualSpacing w:val="0"/>
        <w:jc w:val="both"/>
        <w:textAlignment w:val="baseline"/>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BIR Form No. 1709 shall be completely and truthfully accomplished by the taxpayer or its authorized representative/s, and shall be attached to the Annual Income Tax Return (ITR) for the current taxable year and subsequent years, making it an integral part of the latter</w:t>
      </w:r>
    </w:p>
    <w:p w14:paraId="23EE0AA7" w14:textId="77777777" w:rsidR="00CE7226" w:rsidRPr="007C33E8" w:rsidRDefault="00CE7226" w:rsidP="007C33E8">
      <w:pPr>
        <w:pStyle w:val="ListParagraph"/>
        <w:numPr>
          <w:ilvl w:val="1"/>
          <w:numId w:val="9"/>
        </w:numPr>
        <w:shd w:val="clear" w:color="auto" w:fill="FFFFFF"/>
        <w:spacing w:after="0" w:line="360" w:lineRule="auto"/>
        <w:ind w:left="1080" w:right="-563"/>
        <w:contextualSpacing w:val="0"/>
        <w:jc w:val="both"/>
        <w:textAlignment w:val="baseline"/>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The taxpayer is required to describe in detail the nature of the transactions and the accounts affected. In the event that one or some portions are not applicable, such fact/s shall be so stated.</w:t>
      </w:r>
    </w:p>
    <w:p w14:paraId="7E1B7DDC" w14:textId="77777777" w:rsidR="00CE7226" w:rsidRPr="007C33E8" w:rsidRDefault="00CE7226" w:rsidP="007C33E8">
      <w:pPr>
        <w:pStyle w:val="ListParagraph"/>
        <w:numPr>
          <w:ilvl w:val="1"/>
          <w:numId w:val="9"/>
        </w:numPr>
        <w:shd w:val="clear" w:color="auto" w:fill="FFFFFF"/>
        <w:spacing w:after="0" w:line="360" w:lineRule="auto"/>
        <w:ind w:left="1080" w:right="-563"/>
        <w:contextualSpacing w:val="0"/>
        <w:jc w:val="both"/>
        <w:textAlignment w:val="baseline"/>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The "business overview of the ultimate parent company" referred to in Part IV(A)of BIR Form No. 1709 shall include the profile of the multinational group of which the taxpayer belongs, along with the name, address, legal status and country of tax residence of each of the related parties with whom intra-group transactions have been entered into by the taxpayer, and ownership linkages among them.</w:t>
      </w:r>
    </w:p>
    <w:p w14:paraId="7FB84EEA" w14:textId="77777777" w:rsidR="00CE7226" w:rsidRPr="007C33E8" w:rsidRDefault="00CE7226" w:rsidP="007C33E8">
      <w:pPr>
        <w:pStyle w:val="ListParagraph"/>
        <w:numPr>
          <w:ilvl w:val="1"/>
          <w:numId w:val="9"/>
        </w:numPr>
        <w:shd w:val="clear" w:color="auto" w:fill="FFFFFF"/>
        <w:spacing w:after="0" w:line="360" w:lineRule="auto"/>
        <w:ind w:left="1080" w:right="-563"/>
        <w:contextualSpacing w:val="0"/>
        <w:jc w:val="both"/>
        <w:textAlignment w:val="baseline"/>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The "functional profile" referred to in Part IV(B) of BIR Form No. 1709 shall include a broad description of the business of the taxpayer and the industry in which it operates, and of the business of the related parties with whom the taxpayer has transacted.</w:t>
      </w:r>
    </w:p>
    <w:p w14:paraId="455ED06B" w14:textId="77777777" w:rsidR="00D861D9" w:rsidRPr="007C33E8" w:rsidRDefault="00D861D9" w:rsidP="007C33E8">
      <w:pPr>
        <w:shd w:val="clear" w:color="auto" w:fill="FFFFFF"/>
        <w:spacing w:line="360" w:lineRule="auto"/>
        <w:ind w:right="-563"/>
        <w:jc w:val="both"/>
        <w:textAlignment w:val="baseline"/>
        <w:rPr>
          <w:rFonts w:ascii="GT Walsheim Pro Regular" w:hAnsi="GT Walsheim Pro Regular"/>
          <w:color w:val="3B3838" w:themeColor="background2" w:themeShade="40"/>
          <w:sz w:val="20"/>
          <w:szCs w:val="20"/>
        </w:rPr>
      </w:pPr>
    </w:p>
    <w:p w14:paraId="5CB859B9" w14:textId="115D8CDF" w:rsidR="00CE7226" w:rsidRPr="007C33E8" w:rsidRDefault="00CE7226" w:rsidP="007C33E8">
      <w:pPr>
        <w:shd w:val="clear" w:color="auto" w:fill="FFFFFF"/>
        <w:spacing w:line="360" w:lineRule="auto"/>
        <w:ind w:left="-567" w:right="-563"/>
        <w:jc w:val="both"/>
        <w:textAlignment w:val="baseline"/>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 xml:space="preserve">Any violation of the provisions of this issuance shall be subject to penalties provided in Section 250 (Failure to File Certain Information Returns) and other pertinent provisions of the </w:t>
      </w:r>
      <w:r w:rsidR="00D861D9" w:rsidRPr="007C33E8">
        <w:rPr>
          <w:rFonts w:ascii="GT Walsheim Pro Regular" w:hAnsi="GT Walsheim Pro Regular"/>
          <w:color w:val="3B3838" w:themeColor="background2" w:themeShade="40"/>
          <w:sz w:val="20"/>
          <w:szCs w:val="20"/>
        </w:rPr>
        <w:t>Tax Code</w:t>
      </w:r>
      <w:r w:rsidRPr="007C33E8">
        <w:rPr>
          <w:rFonts w:ascii="GT Walsheim Pro Regular" w:hAnsi="GT Walsheim Pro Regular"/>
          <w:color w:val="3B3838" w:themeColor="background2" w:themeShade="40"/>
          <w:sz w:val="20"/>
          <w:szCs w:val="20"/>
        </w:rPr>
        <w:t>.</w:t>
      </w:r>
    </w:p>
    <w:p w14:paraId="48DEAE87" w14:textId="77777777" w:rsidR="00D861D9" w:rsidRPr="007C33E8" w:rsidRDefault="00D861D9" w:rsidP="007C33E8">
      <w:pPr>
        <w:shd w:val="clear" w:color="auto" w:fill="FFFFFF"/>
        <w:spacing w:line="360" w:lineRule="auto"/>
        <w:ind w:left="-567" w:right="-563"/>
        <w:jc w:val="both"/>
        <w:textAlignment w:val="baseline"/>
        <w:rPr>
          <w:rFonts w:ascii="GT Walsheim Pro Regular" w:hAnsi="GT Walsheim Pro Regular"/>
          <w:color w:val="3B3838" w:themeColor="background2" w:themeShade="40"/>
          <w:sz w:val="20"/>
          <w:szCs w:val="20"/>
        </w:rPr>
      </w:pPr>
    </w:p>
    <w:p w14:paraId="4C9ADFD3" w14:textId="0D7265B7" w:rsidR="00CE7226" w:rsidRPr="007C33E8" w:rsidRDefault="00CE7226" w:rsidP="007C33E8">
      <w:pPr>
        <w:shd w:val="clear" w:color="auto" w:fill="FFFFFF"/>
        <w:spacing w:line="360" w:lineRule="auto"/>
        <w:ind w:left="-567" w:right="-563"/>
        <w:jc w:val="both"/>
        <w:textAlignment w:val="baseline"/>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RR No. 19-2020 was published in a newspaper of general circulation on July</w:t>
      </w:r>
      <w:r w:rsidR="00955646">
        <w:rPr>
          <w:rFonts w:ascii="GT Walsheim Pro Regular" w:hAnsi="GT Walsheim Pro Regular"/>
          <w:color w:val="3B3838" w:themeColor="background2" w:themeShade="40"/>
          <w:sz w:val="20"/>
          <w:szCs w:val="20"/>
        </w:rPr>
        <w:t xml:space="preserve"> 10,</w:t>
      </w:r>
      <w:r w:rsidR="00EE2FAC">
        <w:rPr>
          <w:rFonts w:ascii="GT Walsheim Pro Regular" w:hAnsi="GT Walsheim Pro Regular"/>
          <w:color w:val="3B3838" w:themeColor="background2" w:themeShade="40"/>
          <w:sz w:val="20"/>
          <w:szCs w:val="20"/>
        </w:rPr>
        <w:t xml:space="preserve"> </w:t>
      </w:r>
      <w:r w:rsidRPr="007C33E8">
        <w:rPr>
          <w:rFonts w:ascii="GT Walsheim Pro Regular" w:hAnsi="GT Walsheim Pro Regular"/>
          <w:color w:val="3B3838" w:themeColor="background2" w:themeShade="40"/>
          <w:sz w:val="20"/>
          <w:szCs w:val="20"/>
        </w:rPr>
        <w:t>2020 and became effective on July</w:t>
      </w:r>
      <w:r w:rsidR="00955646">
        <w:rPr>
          <w:rFonts w:ascii="GT Walsheim Pro Regular" w:hAnsi="GT Walsheim Pro Regular"/>
          <w:color w:val="3B3838" w:themeColor="background2" w:themeShade="40"/>
          <w:sz w:val="20"/>
          <w:szCs w:val="20"/>
        </w:rPr>
        <w:t xml:space="preserve"> 25, </w:t>
      </w:r>
      <w:r w:rsidRPr="007C33E8">
        <w:rPr>
          <w:rFonts w:ascii="GT Walsheim Pro Regular" w:hAnsi="GT Walsheim Pro Regular"/>
          <w:color w:val="3B3838" w:themeColor="background2" w:themeShade="40"/>
          <w:sz w:val="20"/>
          <w:szCs w:val="20"/>
        </w:rPr>
        <w:t>2020.</w:t>
      </w:r>
    </w:p>
    <w:p w14:paraId="4E9FCFF6" w14:textId="77777777" w:rsidR="00D861D9" w:rsidRPr="00871CF0" w:rsidRDefault="00D861D9" w:rsidP="007C33E8">
      <w:pPr>
        <w:shd w:val="clear" w:color="auto" w:fill="FFFFFF"/>
        <w:ind w:left="-567"/>
        <w:jc w:val="both"/>
        <w:textAlignment w:val="baseline"/>
        <w:rPr>
          <w:color w:val="000000" w:themeColor="text1"/>
        </w:rPr>
      </w:pPr>
    </w:p>
    <w:p w14:paraId="3FBFA5CC" w14:textId="3132EBD9" w:rsidR="001F379A" w:rsidRPr="007C33E8" w:rsidRDefault="001F379A" w:rsidP="007C33E8">
      <w:pPr>
        <w:pStyle w:val="Heading1"/>
        <w:spacing w:before="0"/>
        <w:ind w:left="-567" w:right="-563"/>
        <w:jc w:val="both"/>
        <w:rPr>
          <w:rFonts w:ascii="Arial" w:hAnsi="Arial" w:cs="Arial"/>
          <w:b/>
          <w:bCs/>
          <w:color w:val="C45911" w:themeColor="accent2" w:themeShade="BF"/>
          <w:sz w:val="24"/>
          <w:szCs w:val="24"/>
        </w:rPr>
      </w:pPr>
      <w:bookmarkStart w:id="18" w:name="_Toc50141435"/>
      <w:r w:rsidRPr="007C33E8">
        <w:rPr>
          <w:rFonts w:ascii="Arial" w:hAnsi="Arial" w:cs="Arial"/>
          <w:b/>
          <w:bCs/>
          <w:color w:val="C45911" w:themeColor="accent2" w:themeShade="BF"/>
          <w:sz w:val="24"/>
          <w:szCs w:val="24"/>
        </w:rPr>
        <w:t>R</w:t>
      </w:r>
      <w:r w:rsidR="00052AF3" w:rsidRPr="007C33E8">
        <w:rPr>
          <w:rFonts w:ascii="Arial" w:hAnsi="Arial" w:cs="Arial"/>
          <w:b/>
          <w:bCs/>
          <w:color w:val="C45911" w:themeColor="accent2" w:themeShade="BF"/>
          <w:sz w:val="24"/>
          <w:szCs w:val="24"/>
        </w:rPr>
        <w:t xml:space="preserve">evenue Memorandum Circular </w:t>
      </w:r>
      <w:r w:rsidR="001F67F0" w:rsidRPr="007C33E8">
        <w:rPr>
          <w:rFonts w:ascii="Arial" w:hAnsi="Arial" w:cs="Arial"/>
          <w:b/>
          <w:bCs/>
          <w:color w:val="C45911" w:themeColor="accent2" w:themeShade="BF"/>
          <w:sz w:val="24"/>
          <w:szCs w:val="24"/>
        </w:rPr>
        <w:t>(RMC)</w:t>
      </w:r>
      <w:bookmarkEnd w:id="18"/>
    </w:p>
    <w:p w14:paraId="0863A4DB" w14:textId="77777777" w:rsidR="00D861D9" w:rsidRPr="00871CF0" w:rsidRDefault="00D861D9" w:rsidP="007C33E8">
      <w:pPr>
        <w:pStyle w:val="Heading1"/>
        <w:spacing w:before="0"/>
        <w:ind w:left="-567" w:right="-563"/>
        <w:jc w:val="both"/>
        <w:rPr>
          <w:rFonts w:asciiTheme="minorHAnsi" w:hAnsiTheme="minorHAnsi" w:cs="Times New Roman"/>
          <w:color w:val="C45911" w:themeColor="accent2" w:themeShade="BF"/>
          <w:sz w:val="24"/>
          <w:szCs w:val="24"/>
        </w:rPr>
      </w:pPr>
    </w:p>
    <w:p w14:paraId="473CC481" w14:textId="7EF13331" w:rsidR="00CE7226" w:rsidRPr="007C33E8" w:rsidRDefault="00CE7226" w:rsidP="007C33E8">
      <w:pPr>
        <w:pStyle w:val="Heading1"/>
        <w:spacing w:before="0"/>
        <w:ind w:left="-567" w:right="-563"/>
        <w:jc w:val="both"/>
        <w:rPr>
          <w:rFonts w:ascii="Arial" w:hAnsi="Arial" w:cs="Arial"/>
          <w:color w:val="C45911" w:themeColor="accent2" w:themeShade="BF"/>
          <w:sz w:val="24"/>
          <w:szCs w:val="24"/>
        </w:rPr>
      </w:pPr>
      <w:bookmarkStart w:id="19" w:name="_Toc50141436"/>
      <w:r w:rsidRPr="007C33E8">
        <w:rPr>
          <w:rFonts w:ascii="Arial" w:hAnsi="Arial" w:cs="Arial"/>
          <w:color w:val="C45911" w:themeColor="accent2" w:themeShade="BF"/>
          <w:sz w:val="24"/>
          <w:szCs w:val="24"/>
        </w:rPr>
        <w:t>VAT Exempted Medicines for Diabetes, Cholesterol, and Hypertension</w:t>
      </w:r>
      <w:bookmarkEnd w:id="19"/>
    </w:p>
    <w:p w14:paraId="45FC2F35" w14:textId="6EDAAD2C" w:rsidR="00CE7226" w:rsidRPr="007C33E8" w:rsidRDefault="00CE7226" w:rsidP="007C33E8">
      <w:pPr>
        <w:ind w:left="-567" w:right="-563"/>
        <w:jc w:val="both"/>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RMC</w:t>
      </w:r>
      <w:r w:rsidR="001F379A" w:rsidRPr="007C33E8">
        <w:rPr>
          <w:rFonts w:ascii="GT Walsheim Pro Regular" w:hAnsi="GT Walsheim Pro Regular"/>
          <w:b/>
          <w:bCs/>
          <w:color w:val="3B3838" w:themeColor="background2" w:themeShade="40"/>
          <w:sz w:val="20"/>
          <w:szCs w:val="20"/>
        </w:rPr>
        <w:t xml:space="preserve"> </w:t>
      </w:r>
      <w:r w:rsidRPr="007C33E8">
        <w:rPr>
          <w:rFonts w:ascii="GT Walsheim Pro Regular" w:hAnsi="GT Walsheim Pro Regular"/>
          <w:b/>
          <w:bCs/>
          <w:color w:val="3B3838" w:themeColor="background2" w:themeShade="40"/>
          <w:sz w:val="20"/>
          <w:szCs w:val="20"/>
        </w:rPr>
        <w:t>No. 62-2020</w:t>
      </w:r>
    </w:p>
    <w:p w14:paraId="76ABD7B9" w14:textId="77777777" w:rsidR="00CE7226" w:rsidRPr="007C33E8" w:rsidRDefault="00CE7226" w:rsidP="007C33E8">
      <w:pPr>
        <w:ind w:left="-567" w:right="-563"/>
        <w:jc w:val="both"/>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 xml:space="preserve">June 23, 2020 </w:t>
      </w:r>
    </w:p>
    <w:p w14:paraId="397FC6D9" w14:textId="77777777" w:rsidR="00CE7226" w:rsidRPr="007C33E8" w:rsidRDefault="00CE7226" w:rsidP="007C33E8">
      <w:pPr>
        <w:ind w:left="-567" w:right="-563"/>
        <w:jc w:val="both"/>
        <w:rPr>
          <w:rFonts w:ascii="GT Walsheim Pro Regular" w:hAnsi="GT Walsheim Pro Regular"/>
          <w:color w:val="3B3838" w:themeColor="background2" w:themeShade="40"/>
          <w:sz w:val="20"/>
          <w:szCs w:val="20"/>
        </w:rPr>
      </w:pPr>
    </w:p>
    <w:p w14:paraId="75FC495F" w14:textId="586127C8" w:rsidR="00CE7226" w:rsidRPr="007C33E8" w:rsidRDefault="00D861D9" w:rsidP="007C33E8">
      <w:pPr>
        <w:spacing w:line="360" w:lineRule="auto"/>
        <w:ind w:left="-567"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Published</w:t>
      </w:r>
      <w:r w:rsidR="00CE7226" w:rsidRPr="007C33E8">
        <w:rPr>
          <w:rFonts w:ascii="GT Walsheim Pro Regular" w:hAnsi="GT Walsheim Pro Regular"/>
          <w:color w:val="3B3838" w:themeColor="background2" w:themeShade="40"/>
          <w:sz w:val="20"/>
          <w:szCs w:val="20"/>
        </w:rPr>
        <w:t xml:space="preserve"> the “List of Prescription Drugs and Medicines for Diabetes, High-Cholesterol and Hypertension Exempt from VAT Beginning January 27, 2020” provided by the Food and Drug Administration of the Department of Health.</w:t>
      </w:r>
    </w:p>
    <w:p w14:paraId="59C188E1" w14:textId="33431C1F" w:rsidR="00CE7226" w:rsidRPr="007C33E8" w:rsidRDefault="00A511AF" w:rsidP="007C33E8">
      <w:pPr>
        <w:pStyle w:val="Heading1"/>
        <w:ind w:left="-567" w:right="-563"/>
        <w:rPr>
          <w:rFonts w:ascii="Arial" w:hAnsi="Arial" w:cs="Arial"/>
          <w:sz w:val="24"/>
          <w:szCs w:val="24"/>
        </w:rPr>
      </w:pPr>
      <w:bookmarkStart w:id="20" w:name="_Toc50141437"/>
      <w:r w:rsidRPr="00C92AA7">
        <w:rPr>
          <w:rFonts w:ascii="Arial" w:hAnsi="Arial" w:cs="Arial"/>
          <w:color w:val="C45911" w:themeColor="accent2" w:themeShade="BF"/>
          <w:sz w:val="24"/>
          <w:szCs w:val="24"/>
        </w:rPr>
        <w:t xml:space="preserve">VAT </w:t>
      </w:r>
      <w:r>
        <w:rPr>
          <w:rFonts w:ascii="Arial" w:hAnsi="Arial" w:cs="Arial"/>
          <w:color w:val="C45911" w:themeColor="accent2" w:themeShade="BF"/>
          <w:sz w:val="24"/>
          <w:szCs w:val="24"/>
        </w:rPr>
        <w:t>Revised Requirements for POGO Licenses</w:t>
      </w:r>
      <w:bookmarkEnd w:id="20"/>
    </w:p>
    <w:p w14:paraId="3A8FEAAA" w14:textId="3600802E" w:rsidR="00CE7226" w:rsidRPr="007C33E8" w:rsidRDefault="00CE7226" w:rsidP="007C33E8">
      <w:pPr>
        <w:ind w:left="-567" w:right="-563"/>
        <w:jc w:val="both"/>
        <w:rPr>
          <w:rFonts w:ascii="GT Walsheim Pro Regular" w:hAnsi="GT Walsheim Pro Regular" w:cs="Arial"/>
          <w:color w:val="3B3838" w:themeColor="background2" w:themeShade="40"/>
          <w:sz w:val="20"/>
          <w:szCs w:val="20"/>
        </w:rPr>
      </w:pPr>
      <w:r w:rsidRPr="007C33E8">
        <w:rPr>
          <w:rFonts w:ascii="GT Walsheim Pro Regular" w:hAnsi="GT Walsheim Pro Regular" w:cs="Arial"/>
          <w:b/>
          <w:bCs/>
          <w:color w:val="3B3838" w:themeColor="background2" w:themeShade="40"/>
          <w:sz w:val="20"/>
          <w:szCs w:val="20"/>
        </w:rPr>
        <w:t>RMC No. 64-2020</w:t>
      </w:r>
      <w:r w:rsidRPr="007C33E8">
        <w:rPr>
          <w:rFonts w:ascii="GT Walsheim Pro Regular" w:hAnsi="GT Walsheim Pro Regular" w:cs="Arial"/>
          <w:color w:val="3B3838" w:themeColor="background2" w:themeShade="40"/>
          <w:sz w:val="20"/>
          <w:szCs w:val="20"/>
        </w:rPr>
        <w:t xml:space="preserve"> </w:t>
      </w:r>
    </w:p>
    <w:p w14:paraId="3E2A60D6" w14:textId="604AF677" w:rsidR="00CE7226" w:rsidRPr="007C33E8" w:rsidRDefault="00CE7226" w:rsidP="007C33E8">
      <w:pPr>
        <w:ind w:left="-567" w:right="-563"/>
        <w:jc w:val="both"/>
        <w:rPr>
          <w:rFonts w:ascii="GT Walsheim Pro Regular" w:hAnsi="GT Walsheim Pro Regular" w:cs="Arial"/>
          <w:b/>
          <w:bCs/>
          <w:color w:val="3B3838" w:themeColor="background2" w:themeShade="40"/>
          <w:sz w:val="20"/>
          <w:szCs w:val="20"/>
        </w:rPr>
      </w:pPr>
      <w:r w:rsidRPr="007C33E8">
        <w:rPr>
          <w:rFonts w:ascii="GT Walsheim Pro Regular" w:hAnsi="GT Walsheim Pro Regular" w:cs="Arial"/>
          <w:b/>
          <w:bCs/>
          <w:color w:val="3B3838" w:themeColor="background2" w:themeShade="40"/>
          <w:sz w:val="20"/>
          <w:szCs w:val="20"/>
        </w:rPr>
        <w:t xml:space="preserve">June </w:t>
      </w:r>
      <w:r w:rsidR="001F379A" w:rsidRPr="007C33E8">
        <w:rPr>
          <w:rFonts w:ascii="GT Walsheim Pro Regular" w:hAnsi="GT Walsheim Pro Regular" w:cs="Arial"/>
          <w:b/>
          <w:bCs/>
          <w:color w:val="3B3838" w:themeColor="background2" w:themeShade="40"/>
          <w:sz w:val="20"/>
          <w:szCs w:val="20"/>
        </w:rPr>
        <w:t xml:space="preserve">24, </w:t>
      </w:r>
      <w:r w:rsidRPr="007C33E8">
        <w:rPr>
          <w:rFonts w:ascii="GT Walsheim Pro Regular" w:hAnsi="GT Walsheim Pro Regular" w:cs="Arial"/>
          <w:b/>
          <w:bCs/>
          <w:color w:val="3B3838" w:themeColor="background2" w:themeShade="40"/>
          <w:sz w:val="20"/>
          <w:szCs w:val="20"/>
        </w:rPr>
        <w:t xml:space="preserve">2020 </w:t>
      </w:r>
    </w:p>
    <w:p w14:paraId="7AD1CCDA" w14:textId="77777777" w:rsidR="00CE7226" w:rsidRPr="007C33E8" w:rsidRDefault="00CE7226" w:rsidP="007C33E8">
      <w:pPr>
        <w:ind w:left="-567"/>
        <w:jc w:val="both"/>
        <w:rPr>
          <w:rFonts w:ascii="GT Walsheim Pro Regular" w:hAnsi="GT Walsheim Pro Regular" w:cs="Arial"/>
          <w:color w:val="3B3838" w:themeColor="background2" w:themeShade="40"/>
          <w:sz w:val="20"/>
          <w:szCs w:val="20"/>
        </w:rPr>
      </w:pPr>
    </w:p>
    <w:p w14:paraId="5DACC29A" w14:textId="116FAC57" w:rsidR="00CE7226" w:rsidRPr="007C33E8" w:rsidRDefault="00D861D9" w:rsidP="007C33E8">
      <w:pPr>
        <w:spacing w:line="360" w:lineRule="auto"/>
        <w:ind w:left="-567"/>
        <w:jc w:val="both"/>
        <w:rPr>
          <w:rFonts w:ascii="GT Walsheim Pro Regular" w:hAnsi="GT Walsheim Pro Regular" w:cs="Arial"/>
          <w:color w:val="3B3838" w:themeColor="background2" w:themeShade="40"/>
          <w:sz w:val="20"/>
          <w:szCs w:val="20"/>
        </w:rPr>
      </w:pPr>
      <w:r w:rsidRPr="007C33E8">
        <w:rPr>
          <w:rFonts w:ascii="GT Walsheim Pro Regular" w:hAnsi="GT Walsheim Pro Regular" w:cs="Arial"/>
          <w:color w:val="3B3838" w:themeColor="background2" w:themeShade="40"/>
          <w:sz w:val="20"/>
          <w:szCs w:val="20"/>
        </w:rPr>
        <w:lastRenderedPageBreak/>
        <w:t>C</w:t>
      </w:r>
      <w:r w:rsidR="00CE7226" w:rsidRPr="007C33E8">
        <w:rPr>
          <w:rFonts w:ascii="GT Walsheim Pro Regular" w:hAnsi="GT Walsheim Pro Regular" w:cs="Arial"/>
          <w:color w:val="3B3838" w:themeColor="background2" w:themeShade="40"/>
          <w:sz w:val="20"/>
          <w:szCs w:val="20"/>
        </w:rPr>
        <w:t>ircularize</w:t>
      </w:r>
      <w:r w:rsidRPr="007C33E8">
        <w:rPr>
          <w:rFonts w:ascii="GT Walsheim Pro Regular" w:hAnsi="GT Walsheim Pro Regular" w:cs="Arial"/>
          <w:color w:val="3B3838" w:themeColor="background2" w:themeShade="40"/>
          <w:sz w:val="20"/>
          <w:szCs w:val="20"/>
        </w:rPr>
        <w:t>d</w:t>
      </w:r>
      <w:r w:rsidR="00CE7226" w:rsidRPr="007C33E8">
        <w:rPr>
          <w:rFonts w:ascii="GT Walsheim Pro Regular" w:hAnsi="GT Walsheim Pro Regular" w:cs="Arial"/>
          <w:color w:val="3B3838" w:themeColor="background2" w:themeShade="40"/>
          <w:sz w:val="20"/>
          <w:szCs w:val="20"/>
        </w:rPr>
        <w:t xml:space="preserve"> the revised guidelines and requirements for POGO Licensees and Service Providers in applying for a BIR Clearance in connection with the resumption of operations.</w:t>
      </w:r>
    </w:p>
    <w:p w14:paraId="08D964A9" w14:textId="77777777" w:rsidR="00D861D9" w:rsidRPr="007C33E8" w:rsidRDefault="00D861D9" w:rsidP="007C33E8">
      <w:pPr>
        <w:ind w:left="-567"/>
        <w:jc w:val="both"/>
        <w:rPr>
          <w:color w:val="3B3838" w:themeColor="background2" w:themeShade="40"/>
        </w:rPr>
      </w:pPr>
    </w:p>
    <w:p w14:paraId="2335D0D5" w14:textId="2D809328" w:rsidR="00CE7226" w:rsidRPr="007C33E8" w:rsidRDefault="00CE7226" w:rsidP="007C33E8">
      <w:pPr>
        <w:pStyle w:val="Heading1"/>
        <w:spacing w:before="0"/>
        <w:ind w:left="-567" w:right="-563"/>
        <w:jc w:val="both"/>
        <w:rPr>
          <w:rFonts w:ascii="Arial" w:hAnsi="Arial" w:cs="Arial"/>
          <w:b/>
          <w:bCs/>
          <w:color w:val="C45911" w:themeColor="accent2" w:themeShade="BF"/>
          <w:sz w:val="24"/>
          <w:szCs w:val="24"/>
        </w:rPr>
      </w:pPr>
      <w:bookmarkStart w:id="21" w:name="_Toc50141438"/>
      <w:r w:rsidRPr="007C33E8">
        <w:rPr>
          <w:rFonts w:ascii="Arial" w:hAnsi="Arial" w:cs="Arial"/>
          <w:color w:val="C45911" w:themeColor="accent2" w:themeShade="BF"/>
          <w:sz w:val="24"/>
          <w:szCs w:val="24"/>
        </w:rPr>
        <w:t>Revised procedures on the cancellation of Permit to Use (PTU) Cash Register Machines (CRM), Point-of-Sale (POS)</w:t>
      </w:r>
      <w:bookmarkEnd w:id="21"/>
    </w:p>
    <w:p w14:paraId="29739B8F" w14:textId="62616173" w:rsidR="00CE7226" w:rsidRPr="007C33E8" w:rsidRDefault="00CE7226" w:rsidP="007C33E8">
      <w:pPr>
        <w:ind w:left="-567"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b/>
          <w:bCs/>
          <w:color w:val="3B3838" w:themeColor="background2" w:themeShade="40"/>
          <w:sz w:val="20"/>
          <w:szCs w:val="20"/>
        </w:rPr>
        <w:t>RMC</w:t>
      </w:r>
      <w:r w:rsidR="001F379A" w:rsidRPr="007C33E8">
        <w:rPr>
          <w:rFonts w:ascii="GT Walsheim Pro Regular" w:hAnsi="GT Walsheim Pro Regular"/>
          <w:b/>
          <w:bCs/>
          <w:color w:val="3B3838" w:themeColor="background2" w:themeShade="40"/>
          <w:sz w:val="20"/>
          <w:szCs w:val="20"/>
        </w:rPr>
        <w:t xml:space="preserve"> </w:t>
      </w:r>
      <w:r w:rsidRPr="007C33E8">
        <w:rPr>
          <w:rFonts w:ascii="GT Walsheim Pro Regular" w:hAnsi="GT Walsheim Pro Regular"/>
          <w:b/>
          <w:bCs/>
          <w:color w:val="3B3838" w:themeColor="background2" w:themeShade="40"/>
          <w:sz w:val="20"/>
          <w:szCs w:val="20"/>
        </w:rPr>
        <w:t>No. 69-2020</w:t>
      </w:r>
      <w:r w:rsidRPr="007C33E8">
        <w:rPr>
          <w:rFonts w:ascii="GT Walsheim Pro Regular" w:hAnsi="GT Walsheim Pro Regular"/>
          <w:color w:val="3B3838" w:themeColor="background2" w:themeShade="40"/>
          <w:sz w:val="20"/>
          <w:szCs w:val="20"/>
        </w:rPr>
        <w:t xml:space="preserve"> </w:t>
      </w:r>
    </w:p>
    <w:p w14:paraId="532393CA" w14:textId="7D9D105A" w:rsidR="00CE7226" w:rsidRPr="007C33E8" w:rsidRDefault="00CE7226" w:rsidP="007C33E8">
      <w:pPr>
        <w:ind w:left="-567" w:right="-563"/>
        <w:jc w:val="both"/>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July</w:t>
      </w:r>
      <w:r w:rsidR="001F379A" w:rsidRPr="007C33E8">
        <w:rPr>
          <w:rFonts w:ascii="GT Walsheim Pro Regular" w:hAnsi="GT Walsheim Pro Regular"/>
          <w:b/>
          <w:bCs/>
          <w:color w:val="3B3838" w:themeColor="background2" w:themeShade="40"/>
          <w:sz w:val="20"/>
          <w:szCs w:val="20"/>
        </w:rPr>
        <w:t xml:space="preserve"> 13, </w:t>
      </w:r>
      <w:r w:rsidRPr="007C33E8">
        <w:rPr>
          <w:rFonts w:ascii="GT Walsheim Pro Regular" w:hAnsi="GT Walsheim Pro Regular"/>
          <w:b/>
          <w:bCs/>
          <w:color w:val="3B3838" w:themeColor="background2" w:themeShade="40"/>
          <w:sz w:val="20"/>
          <w:szCs w:val="20"/>
        </w:rPr>
        <w:t>2020</w:t>
      </w:r>
    </w:p>
    <w:p w14:paraId="16E99A3B" w14:textId="77777777" w:rsidR="00CE7226" w:rsidRPr="007C33E8" w:rsidRDefault="00CE7226" w:rsidP="007C33E8">
      <w:pPr>
        <w:ind w:left="-567" w:right="-563"/>
        <w:jc w:val="both"/>
        <w:rPr>
          <w:color w:val="3B3838" w:themeColor="background2" w:themeShade="40"/>
        </w:rPr>
      </w:pPr>
    </w:p>
    <w:p w14:paraId="003E7570" w14:textId="2CEDC14B" w:rsidR="00CE7226" w:rsidRPr="007C33E8" w:rsidRDefault="00CE7226" w:rsidP="007C33E8">
      <w:pPr>
        <w:spacing w:line="360" w:lineRule="auto"/>
        <w:ind w:left="-567"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 xml:space="preserve">The cancellation of the PTU CRM/POS machine shall be processed by the Revenue District Office (RDO)/LT Office having jurisdiction over the taxpayer’s business address where the machine was registered. </w:t>
      </w:r>
    </w:p>
    <w:p w14:paraId="381D2480" w14:textId="77777777" w:rsidR="008327FC" w:rsidRPr="007C33E8" w:rsidRDefault="008327FC" w:rsidP="007C33E8">
      <w:pPr>
        <w:spacing w:line="360" w:lineRule="auto"/>
        <w:ind w:right="-563"/>
        <w:jc w:val="both"/>
        <w:rPr>
          <w:rFonts w:ascii="GT Walsheim Pro Regular" w:hAnsi="GT Walsheim Pro Regular"/>
          <w:color w:val="3B3838" w:themeColor="background2" w:themeShade="40"/>
          <w:sz w:val="20"/>
          <w:szCs w:val="20"/>
        </w:rPr>
      </w:pPr>
    </w:p>
    <w:p w14:paraId="772C08D9" w14:textId="510E1C90" w:rsidR="00CE7226" w:rsidRPr="007C33E8" w:rsidRDefault="00CE7226" w:rsidP="007C33E8">
      <w:pPr>
        <w:spacing w:line="360" w:lineRule="auto"/>
        <w:ind w:left="-567"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 xml:space="preserve">The taxpayer shall notify the concerned RDO)/LT Office, in writing, on their request for cancellation of the PTU within five (5) days from the date the machine was last used/withdrawn from use stating the reason(s) for the cancellation and other information such as, but not limited to, the following: a) Permit Number; b) Machine Identification Number (MIN); c) type of machine; d) Machine serial number, brand/model; e) software name and/or version; and f) grand accumulated sales as of last day of use of the machine. </w:t>
      </w:r>
    </w:p>
    <w:p w14:paraId="256AA6E4" w14:textId="77777777" w:rsidR="008327FC" w:rsidRPr="007C33E8" w:rsidRDefault="008327FC" w:rsidP="007C33E8">
      <w:pPr>
        <w:spacing w:line="360" w:lineRule="auto"/>
        <w:ind w:left="-567"/>
        <w:jc w:val="both"/>
        <w:rPr>
          <w:rFonts w:ascii="GT Walsheim Pro Regular" w:hAnsi="GT Walsheim Pro Regular"/>
          <w:color w:val="3B3838" w:themeColor="background2" w:themeShade="40"/>
          <w:sz w:val="20"/>
          <w:szCs w:val="20"/>
        </w:rPr>
      </w:pPr>
    </w:p>
    <w:p w14:paraId="6F5C71C1" w14:textId="079145DC" w:rsidR="00CE7226" w:rsidRPr="007C33E8" w:rsidRDefault="00CE7226" w:rsidP="007C33E8">
      <w:pPr>
        <w:spacing w:line="360" w:lineRule="auto"/>
        <w:ind w:left="-567"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Actual inspection of the CRM/POS shall be mandatory in case of its withdrawal from use or its transfer to another branch of the company. However, in case of modification/upgrading of the software being used, actual inspection of the machine may be dispensed with under certain conditions.</w:t>
      </w:r>
    </w:p>
    <w:p w14:paraId="6B31B1E8" w14:textId="77777777" w:rsidR="008327FC" w:rsidRPr="007C33E8" w:rsidRDefault="008327FC" w:rsidP="007C33E8">
      <w:pPr>
        <w:spacing w:line="360" w:lineRule="auto"/>
        <w:ind w:left="-567" w:right="-563"/>
        <w:jc w:val="both"/>
        <w:rPr>
          <w:color w:val="3B3838" w:themeColor="background2" w:themeShade="40"/>
        </w:rPr>
      </w:pPr>
    </w:p>
    <w:p w14:paraId="4884EA2E" w14:textId="6C82F8D4" w:rsidR="00CE7226" w:rsidRPr="007C33E8" w:rsidRDefault="00CE7226" w:rsidP="007C33E8">
      <w:pPr>
        <w:spacing w:line="360" w:lineRule="auto"/>
        <w:ind w:left="-567"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Non-payment of the penalties at the time of the request for cancellation of the PTU shall not be a ground for the non-issuance of the Cancellation Certificate.</w:t>
      </w:r>
    </w:p>
    <w:p w14:paraId="7790DE6A" w14:textId="77777777" w:rsidR="008327FC" w:rsidRPr="007C33E8" w:rsidRDefault="008327FC" w:rsidP="007C33E8">
      <w:pPr>
        <w:spacing w:line="360" w:lineRule="auto"/>
        <w:ind w:left="-567" w:right="-563"/>
        <w:jc w:val="both"/>
        <w:rPr>
          <w:rFonts w:ascii="GT Walsheim Pro Regular" w:hAnsi="GT Walsheim Pro Regular"/>
          <w:color w:val="3B3838" w:themeColor="background2" w:themeShade="40"/>
          <w:sz w:val="20"/>
          <w:szCs w:val="20"/>
        </w:rPr>
      </w:pPr>
    </w:p>
    <w:p w14:paraId="2E18C44C" w14:textId="0BB17D06" w:rsidR="00CE7226" w:rsidRPr="007C33E8" w:rsidRDefault="00CE7226" w:rsidP="007C33E8">
      <w:pPr>
        <w:spacing w:line="360" w:lineRule="auto"/>
        <w:ind w:left="-567"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 xml:space="preserve">In order to authorize the simultaneous registration in eAccReg system of the new accredited software or upgraded software to be installed in the same machine with application for cancellation of the old software, the taxpayer shall secure approval in writing from the concerned LT Office/RDO to add a distinct prefix/suffix to the serial number of the sales machine to allow registration of the new software (consisting of serial number of machine followed by prefix/suffix e.g., 123456A). </w:t>
      </w:r>
    </w:p>
    <w:p w14:paraId="3316140A" w14:textId="77777777" w:rsidR="008327FC" w:rsidRPr="007C33E8" w:rsidRDefault="008327FC" w:rsidP="007C33E8">
      <w:pPr>
        <w:spacing w:line="360" w:lineRule="auto"/>
        <w:ind w:left="-567" w:right="-563"/>
        <w:jc w:val="both"/>
        <w:rPr>
          <w:rFonts w:ascii="GT Walsheim Pro Regular" w:hAnsi="GT Walsheim Pro Regular"/>
          <w:color w:val="3B3838" w:themeColor="background2" w:themeShade="40"/>
          <w:sz w:val="20"/>
          <w:szCs w:val="20"/>
        </w:rPr>
      </w:pPr>
    </w:p>
    <w:p w14:paraId="5FE566AA" w14:textId="0C8F6F69" w:rsidR="00F67422" w:rsidRDefault="00CE7226" w:rsidP="007C33E8">
      <w:pPr>
        <w:spacing w:line="360" w:lineRule="auto"/>
        <w:ind w:left="-567"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The policies, requirements and procedures in Revenue Memorandum Circular No. 72-2018 apply only to machines that were found during Post-Evaluation to have been requested for cancellation of PTU but have not been acted upon by the concerned LT Office/RDO. Otherwise, the provisions on cancellation of PTU under this Circular shall apply.</w:t>
      </w:r>
    </w:p>
    <w:p w14:paraId="75B1C564" w14:textId="3FEE7AA6" w:rsidR="00E52BA4" w:rsidRDefault="00E52BA4">
      <w:pPr>
        <w:jc w:val="both"/>
        <w:rPr>
          <w:rFonts w:ascii="GT Walsheim Pro Regular" w:hAnsi="GT Walsheim Pro Regular"/>
          <w:color w:val="3B3838" w:themeColor="background2" w:themeShade="40"/>
          <w:sz w:val="20"/>
          <w:szCs w:val="20"/>
        </w:rPr>
      </w:pPr>
    </w:p>
    <w:p w14:paraId="3CE00EDA" w14:textId="69BCAE62" w:rsidR="00E52BA4" w:rsidRPr="00C92AA7" w:rsidRDefault="00E52BA4" w:rsidP="007C33E8">
      <w:pPr>
        <w:pStyle w:val="Heading1"/>
        <w:ind w:left="-567"/>
        <w:rPr>
          <w:rFonts w:ascii="Arial" w:hAnsi="Arial" w:cs="Arial"/>
          <w:b/>
          <w:bCs/>
          <w:color w:val="C45911" w:themeColor="accent2" w:themeShade="BF"/>
          <w:sz w:val="24"/>
          <w:szCs w:val="24"/>
        </w:rPr>
      </w:pPr>
      <w:bookmarkStart w:id="22" w:name="_Toc50141439"/>
      <w:r w:rsidRPr="00C92AA7">
        <w:rPr>
          <w:rFonts w:ascii="Arial" w:hAnsi="Arial" w:cs="Arial"/>
          <w:b/>
          <w:bCs/>
          <w:color w:val="C45911" w:themeColor="accent2" w:themeShade="BF"/>
          <w:sz w:val="24"/>
          <w:szCs w:val="24"/>
        </w:rPr>
        <w:t xml:space="preserve">Revenue Memorandum </w:t>
      </w:r>
      <w:r>
        <w:rPr>
          <w:rFonts w:ascii="Arial" w:hAnsi="Arial" w:cs="Arial"/>
          <w:b/>
          <w:bCs/>
          <w:color w:val="C45911" w:themeColor="accent2" w:themeShade="BF"/>
          <w:sz w:val="24"/>
          <w:szCs w:val="24"/>
        </w:rPr>
        <w:t>Order</w:t>
      </w:r>
      <w:r w:rsidRPr="00C92AA7">
        <w:rPr>
          <w:rFonts w:ascii="Arial" w:hAnsi="Arial" w:cs="Arial"/>
          <w:b/>
          <w:bCs/>
          <w:color w:val="C45911" w:themeColor="accent2" w:themeShade="BF"/>
          <w:sz w:val="24"/>
          <w:szCs w:val="24"/>
        </w:rPr>
        <w:t xml:space="preserve"> (RM</w:t>
      </w:r>
      <w:r>
        <w:rPr>
          <w:rFonts w:ascii="Arial" w:hAnsi="Arial" w:cs="Arial"/>
          <w:b/>
          <w:bCs/>
          <w:color w:val="C45911" w:themeColor="accent2" w:themeShade="BF"/>
          <w:sz w:val="24"/>
          <w:szCs w:val="24"/>
        </w:rPr>
        <w:t>O</w:t>
      </w:r>
      <w:r w:rsidRPr="00C92AA7">
        <w:rPr>
          <w:rFonts w:ascii="Arial" w:hAnsi="Arial" w:cs="Arial"/>
          <w:b/>
          <w:bCs/>
          <w:color w:val="C45911" w:themeColor="accent2" w:themeShade="BF"/>
          <w:sz w:val="24"/>
          <w:szCs w:val="24"/>
        </w:rPr>
        <w:t>)</w:t>
      </w:r>
      <w:bookmarkEnd w:id="22"/>
    </w:p>
    <w:p w14:paraId="7AA6A3A6" w14:textId="77777777" w:rsidR="00E52BA4" w:rsidRPr="00871CF0" w:rsidRDefault="00E52BA4" w:rsidP="007C33E8">
      <w:pPr>
        <w:pStyle w:val="Heading1"/>
        <w:spacing w:before="0"/>
        <w:ind w:left="-567"/>
        <w:jc w:val="both"/>
        <w:rPr>
          <w:rFonts w:asciiTheme="minorHAnsi" w:hAnsiTheme="minorHAnsi" w:cs="Times New Roman"/>
          <w:color w:val="C45911" w:themeColor="accent2" w:themeShade="BF"/>
          <w:sz w:val="24"/>
          <w:szCs w:val="24"/>
        </w:rPr>
      </w:pPr>
    </w:p>
    <w:p w14:paraId="65E10B11" w14:textId="33E4D0FE" w:rsidR="00E52BA4" w:rsidRPr="00C51098" w:rsidRDefault="00955646" w:rsidP="007C33E8">
      <w:pPr>
        <w:pStyle w:val="Heading1"/>
        <w:spacing w:before="0"/>
        <w:ind w:left="-567" w:right="-563"/>
        <w:jc w:val="both"/>
        <w:rPr>
          <w:rFonts w:ascii="Arial" w:hAnsi="Arial" w:cs="Arial"/>
          <w:color w:val="C45911" w:themeColor="accent2" w:themeShade="BF"/>
          <w:sz w:val="24"/>
          <w:szCs w:val="24"/>
        </w:rPr>
      </w:pPr>
      <w:bookmarkStart w:id="23" w:name="_Toc50141440"/>
      <w:r w:rsidRPr="00C51098">
        <w:rPr>
          <w:rFonts w:ascii="Arial" w:hAnsi="Arial" w:cs="Arial"/>
          <w:color w:val="C45911" w:themeColor="accent2" w:themeShade="BF"/>
          <w:sz w:val="24"/>
          <w:szCs w:val="24"/>
        </w:rPr>
        <w:t>Guidelines for d</w:t>
      </w:r>
      <w:r w:rsidR="00E52BA4" w:rsidRPr="00C51098">
        <w:rPr>
          <w:rFonts w:ascii="Arial" w:hAnsi="Arial" w:cs="Arial"/>
          <w:color w:val="C45911" w:themeColor="accent2" w:themeShade="BF"/>
          <w:sz w:val="24"/>
          <w:szCs w:val="24"/>
        </w:rPr>
        <w:t xml:space="preserve">estruction and disposal </w:t>
      </w:r>
      <w:r w:rsidRPr="00C51098">
        <w:rPr>
          <w:rFonts w:ascii="Arial" w:hAnsi="Arial" w:cs="Arial"/>
          <w:color w:val="C45911" w:themeColor="accent2" w:themeShade="BF"/>
          <w:sz w:val="24"/>
          <w:szCs w:val="24"/>
        </w:rPr>
        <w:t xml:space="preserve">of </w:t>
      </w:r>
      <w:r w:rsidR="00E52BA4" w:rsidRPr="00C51098">
        <w:rPr>
          <w:rFonts w:ascii="Arial" w:hAnsi="Arial" w:cs="Arial"/>
          <w:color w:val="C45911" w:themeColor="accent2" w:themeShade="BF"/>
          <w:sz w:val="24"/>
          <w:szCs w:val="24"/>
        </w:rPr>
        <w:t>inventory of goods/assets declared as waste or obsolete</w:t>
      </w:r>
      <w:bookmarkEnd w:id="23"/>
    </w:p>
    <w:p w14:paraId="05727D72" w14:textId="26DB7EA5" w:rsidR="00E52BA4" w:rsidRPr="00C51098" w:rsidRDefault="00E52BA4" w:rsidP="007C33E8">
      <w:pPr>
        <w:ind w:left="-567"/>
        <w:jc w:val="both"/>
        <w:rPr>
          <w:rFonts w:ascii="GT Walsheim Pro Regular" w:hAnsi="GT Walsheim Pro Regular"/>
          <w:b/>
          <w:bCs/>
          <w:color w:val="3B3838" w:themeColor="background2" w:themeShade="40"/>
          <w:sz w:val="20"/>
          <w:szCs w:val="20"/>
        </w:rPr>
      </w:pPr>
      <w:r w:rsidRPr="00C51098">
        <w:rPr>
          <w:rFonts w:ascii="GT Walsheim Pro Regular" w:hAnsi="GT Walsheim Pro Regular"/>
          <w:b/>
          <w:bCs/>
          <w:color w:val="3B3838" w:themeColor="background2" w:themeShade="40"/>
          <w:sz w:val="20"/>
          <w:szCs w:val="20"/>
        </w:rPr>
        <w:t>RM0 No. 21-2020</w:t>
      </w:r>
    </w:p>
    <w:p w14:paraId="144331F8" w14:textId="066782BE" w:rsidR="00E52BA4" w:rsidRPr="008E0146" w:rsidRDefault="00E52BA4" w:rsidP="007C33E8">
      <w:pPr>
        <w:ind w:left="-567"/>
        <w:jc w:val="both"/>
        <w:rPr>
          <w:rFonts w:ascii="GT Walsheim Pro Regular" w:hAnsi="GT Walsheim Pro Regular"/>
          <w:b/>
          <w:bCs/>
          <w:color w:val="3B3838" w:themeColor="background2" w:themeShade="40"/>
          <w:sz w:val="20"/>
          <w:szCs w:val="20"/>
        </w:rPr>
      </w:pPr>
      <w:r w:rsidRPr="00C51098">
        <w:rPr>
          <w:rFonts w:ascii="GT Walsheim Pro Regular" w:hAnsi="GT Walsheim Pro Regular"/>
          <w:b/>
          <w:bCs/>
          <w:color w:val="3B3838" w:themeColor="background2" w:themeShade="40"/>
          <w:sz w:val="20"/>
          <w:szCs w:val="20"/>
        </w:rPr>
        <w:t>July 10,  2020</w:t>
      </w:r>
      <w:r w:rsidRPr="008E0146">
        <w:rPr>
          <w:rFonts w:ascii="GT Walsheim Pro Regular" w:hAnsi="GT Walsheim Pro Regular"/>
          <w:b/>
          <w:bCs/>
          <w:color w:val="3B3838" w:themeColor="background2" w:themeShade="40"/>
          <w:sz w:val="20"/>
          <w:szCs w:val="20"/>
        </w:rPr>
        <w:t xml:space="preserve"> </w:t>
      </w:r>
    </w:p>
    <w:p w14:paraId="4C0F5830" w14:textId="77777777" w:rsidR="00E52BA4" w:rsidRPr="008E0146" w:rsidRDefault="00E52BA4" w:rsidP="007C33E8">
      <w:pPr>
        <w:ind w:left="-567"/>
        <w:jc w:val="both"/>
        <w:rPr>
          <w:rFonts w:ascii="GT Walsheim Pro Regular" w:hAnsi="GT Walsheim Pro Regular"/>
          <w:b/>
          <w:bCs/>
          <w:color w:val="3B3838" w:themeColor="background2" w:themeShade="40"/>
          <w:sz w:val="20"/>
          <w:szCs w:val="20"/>
        </w:rPr>
      </w:pPr>
    </w:p>
    <w:p w14:paraId="4FA6F8DB" w14:textId="4CFA6881" w:rsidR="00A511AF" w:rsidRDefault="00E52BA4" w:rsidP="007C33E8">
      <w:pPr>
        <w:spacing w:line="360" w:lineRule="auto"/>
        <w:ind w:left="-567" w:right="-563"/>
        <w:contextualSpacing/>
        <w:jc w:val="both"/>
        <w:rPr>
          <w:rFonts w:ascii="GT Walsheim Pro Regular" w:hAnsi="GT Walsheim Pro Regular" w:cs="Arial"/>
          <w:color w:val="3B3838" w:themeColor="background2" w:themeShade="40"/>
          <w:sz w:val="20"/>
          <w:szCs w:val="20"/>
        </w:rPr>
      </w:pPr>
      <w:r w:rsidRPr="008E0146">
        <w:rPr>
          <w:rFonts w:ascii="GT Walsheim Pro Regular" w:hAnsi="GT Walsheim Pro Regular" w:cs="Arial"/>
          <w:color w:val="3B3838" w:themeColor="background2" w:themeShade="40"/>
          <w:sz w:val="20"/>
          <w:szCs w:val="20"/>
        </w:rPr>
        <w:lastRenderedPageBreak/>
        <w:t>Prescribes the process, guidelines, and procedures for the destruction and disposal and determination of deductible expense pertaining to inventory of goods/assets declared as waste or obsolete</w:t>
      </w:r>
      <w:r w:rsidRPr="008E0146">
        <w:t xml:space="preserve"> </w:t>
      </w:r>
      <w:r w:rsidRPr="008E0146">
        <w:rPr>
          <w:rFonts w:ascii="GT Walsheim Pro Regular" w:hAnsi="GT Walsheim Pro Regular" w:cs="Arial"/>
          <w:color w:val="3B3838" w:themeColor="background2" w:themeShade="40"/>
          <w:sz w:val="20"/>
          <w:szCs w:val="20"/>
        </w:rPr>
        <w:t>spoilage, deterioration, obsolescence, expiration, or other causes rendering the same unfit for sale or for use in production.</w:t>
      </w:r>
    </w:p>
    <w:p w14:paraId="1BCEF968" w14:textId="7ADEC3A3" w:rsidR="00FB2C47" w:rsidRDefault="00FB2C47" w:rsidP="007C33E8">
      <w:pPr>
        <w:pStyle w:val="Heading1"/>
        <w:ind w:left="-567"/>
        <w:contextualSpacing/>
        <w:rPr>
          <w:rFonts w:ascii="Arial" w:hAnsi="Arial" w:cs="Arial"/>
          <w:b/>
          <w:bCs/>
          <w:color w:val="C45911" w:themeColor="accent2" w:themeShade="BF"/>
          <w:sz w:val="24"/>
          <w:szCs w:val="24"/>
        </w:rPr>
      </w:pPr>
    </w:p>
    <w:p w14:paraId="4CA597E4" w14:textId="14C6B3EB" w:rsidR="00F67422" w:rsidRPr="007C33E8" w:rsidRDefault="00A511AF" w:rsidP="007C33E8">
      <w:pPr>
        <w:pStyle w:val="Heading1"/>
        <w:ind w:left="-567" w:right="-279"/>
        <w:contextualSpacing/>
        <w:rPr>
          <w:rFonts w:ascii="Arial" w:hAnsi="Arial" w:cs="Arial"/>
          <w:color w:val="ED7D31" w:themeColor="accent2"/>
          <w:sz w:val="24"/>
          <w:szCs w:val="24"/>
        </w:rPr>
      </w:pPr>
      <w:bookmarkStart w:id="24" w:name="_Toc50141441"/>
      <w:r>
        <w:rPr>
          <w:rFonts w:ascii="Arial" w:hAnsi="Arial" w:cs="Arial"/>
          <w:b/>
          <w:bCs/>
          <w:color w:val="C45911" w:themeColor="accent2" w:themeShade="BF"/>
          <w:sz w:val="24"/>
          <w:szCs w:val="24"/>
        </w:rPr>
        <w:t>BUREAU OF CUSTOMS</w:t>
      </w:r>
      <w:bookmarkEnd w:id="24"/>
    </w:p>
    <w:p w14:paraId="653AA169" w14:textId="77777777" w:rsidR="008327FC" w:rsidRPr="00871CF0" w:rsidRDefault="008327FC" w:rsidP="007C33E8">
      <w:pPr>
        <w:ind w:left="-567" w:right="-279"/>
        <w:rPr>
          <w:color w:val="C45911" w:themeColor="accent2" w:themeShade="BF"/>
        </w:rPr>
      </w:pPr>
    </w:p>
    <w:p w14:paraId="56FE7510" w14:textId="0BE4A3E3" w:rsidR="00F67422" w:rsidRPr="007C33E8" w:rsidRDefault="0012556E" w:rsidP="007C33E8">
      <w:pPr>
        <w:pStyle w:val="Heading1"/>
        <w:spacing w:before="0"/>
        <w:ind w:left="-567" w:right="-279"/>
        <w:rPr>
          <w:rFonts w:ascii="Arial" w:hAnsi="Arial" w:cs="Arial"/>
          <w:b/>
          <w:bCs/>
          <w:color w:val="3B3838" w:themeColor="background2" w:themeShade="40"/>
          <w:sz w:val="24"/>
          <w:szCs w:val="24"/>
        </w:rPr>
      </w:pPr>
      <w:bookmarkStart w:id="25" w:name="_Toc50141442"/>
      <w:r w:rsidRPr="00C92AA7">
        <w:rPr>
          <w:rFonts w:ascii="Arial" w:hAnsi="Arial" w:cs="Arial"/>
          <w:b/>
          <w:bCs/>
          <w:color w:val="C45911" w:themeColor="accent2" w:themeShade="BF"/>
          <w:sz w:val="24"/>
          <w:szCs w:val="24"/>
        </w:rPr>
        <w:t xml:space="preserve">Customs </w:t>
      </w:r>
      <w:r>
        <w:rPr>
          <w:rFonts w:ascii="Arial" w:hAnsi="Arial" w:cs="Arial"/>
          <w:b/>
          <w:bCs/>
          <w:color w:val="C45911" w:themeColor="accent2" w:themeShade="BF"/>
          <w:sz w:val="24"/>
          <w:szCs w:val="24"/>
        </w:rPr>
        <w:t>Administrative Orders (CAO)</w:t>
      </w:r>
      <w:bookmarkEnd w:id="25"/>
      <w:r w:rsidR="001F67F0" w:rsidRPr="007C33E8">
        <w:rPr>
          <w:rFonts w:ascii="Arial" w:hAnsi="Arial" w:cs="Arial"/>
          <w:b/>
          <w:bCs/>
          <w:color w:val="3B3838" w:themeColor="background2" w:themeShade="40"/>
          <w:sz w:val="24"/>
          <w:szCs w:val="24"/>
        </w:rPr>
        <w:t xml:space="preserve"> </w:t>
      </w:r>
    </w:p>
    <w:p w14:paraId="10CC8CB5" w14:textId="77777777" w:rsidR="00F67422" w:rsidRPr="00871CF0" w:rsidRDefault="00F67422" w:rsidP="007C33E8">
      <w:pPr>
        <w:ind w:left="-567" w:right="-279"/>
        <w:rPr>
          <w:b/>
          <w:bCs/>
          <w:i/>
          <w:iCs/>
          <w:color w:val="C45911" w:themeColor="accent2" w:themeShade="BF"/>
        </w:rPr>
      </w:pPr>
    </w:p>
    <w:p w14:paraId="1F43B199" w14:textId="1B241A4A" w:rsidR="00F67422" w:rsidRPr="007C33E8" w:rsidRDefault="009374CB" w:rsidP="007C33E8">
      <w:pPr>
        <w:pStyle w:val="Heading1"/>
        <w:ind w:left="-567" w:right="-563"/>
      </w:pPr>
      <w:bookmarkStart w:id="26" w:name="_Toc50141443"/>
      <w:r>
        <w:rPr>
          <w:rFonts w:ascii="Arial" w:hAnsi="Arial" w:cs="Arial"/>
          <w:color w:val="C45911" w:themeColor="accent2" w:themeShade="BF"/>
          <w:sz w:val="24"/>
          <w:szCs w:val="24"/>
        </w:rPr>
        <w:t>Appeal process for forfeiture proceedings</w:t>
      </w:r>
      <w:bookmarkEnd w:id="26"/>
    </w:p>
    <w:p w14:paraId="7ADDC119" w14:textId="144F7127" w:rsidR="00F67422" w:rsidRPr="007C33E8" w:rsidRDefault="00F67422" w:rsidP="007C33E8">
      <w:pPr>
        <w:ind w:left="-567" w:right="-563"/>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CA</w:t>
      </w:r>
      <w:r w:rsidR="001F67F0" w:rsidRPr="007C33E8">
        <w:rPr>
          <w:rFonts w:ascii="GT Walsheim Pro Regular" w:hAnsi="GT Walsheim Pro Regular"/>
          <w:b/>
          <w:bCs/>
          <w:color w:val="3B3838" w:themeColor="background2" w:themeShade="40"/>
          <w:sz w:val="20"/>
          <w:szCs w:val="20"/>
        </w:rPr>
        <w:t>O</w:t>
      </w:r>
      <w:r w:rsidRPr="007C33E8">
        <w:rPr>
          <w:rFonts w:ascii="GT Walsheim Pro Regular" w:hAnsi="GT Walsheim Pro Regular"/>
          <w:b/>
          <w:bCs/>
          <w:color w:val="3B3838" w:themeColor="background2" w:themeShade="40"/>
          <w:sz w:val="20"/>
          <w:szCs w:val="20"/>
        </w:rPr>
        <w:t xml:space="preserve"> No. 10-2020</w:t>
      </w:r>
    </w:p>
    <w:p w14:paraId="2845D791" w14:textId="18D5292D" w:rsidR="00F67422" w:rsidRPr="007C33E8" w:rsidRDefault="00F67422" w:rsidP="007C33E8">
      <w:pPr>
        <w:ind w:left="-567" w:right="-563"/>
        <w:jc w:val="both"/>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(Signed by the Commissioner of Customs on May</w:t>
      </w:r>
      <w:r w:rsidR="008F0A37" w:rsidRPr="007C33E8">
        <w:rPr>
          <w:rFonts w:ascii="GT Walsheim Pro Regular" w:hAnsi="GT Walsheim Pro Regular"/>
          <w:b/>
          <w:bCs/>
          <w:color w:val="3B3838" w:themeColor="background2" w:themeShade="40"/>
          <w:sz w:val="20"/>
          <w:szCs w:val="20"/>
        </w:rPr>
        <w:t xml:space="preserve"> 11,</w:t>
      </w:r>
      <w:r w:rsidRPr="007C33E8">
        <w:rPr>
          <w:rFonts w:ascii="GT Walsheim Pro Regular" w:hAnsi="GT Walsheim Pro Regular"/>
          <w:b/>
          <w:bCs/>
          <w:color w:val="3B3838" w:themeColor="background2" w:themeShade="40"/>
          <w:sz w:val="20"/>
          <w:szCs w:val="20"/>
        </w:rPr>
        <w:t xml:space="preserve"> 2020, approved by the Secretary of Finance on June</w:t>
      </w:r>
      <w:r w:rsidR="008F0A37" w:rsidRPr="007C33E8">
        <w:rPr>
          <w:rFonts w:ascii="GT Walsheim Pro Regular" w:hAnsi="GT Walsheim Pro Regular"/>
          <w:b/>
          <w:bCs/>
          <w:color w:val="3B3838" w:themeColor="background2" w:themeShade="40"/>
          <w:sz w:val="20"/>
          <w:szCs w:val="20"/>
        </w:rPr>
        <w:t xml:space="preserve"> 5,</w:t>
      </w:r>
      <w:r w:rsidRPr="007C33E8">
        <w:rPr>
          <w:rFonts w:ascii="GT Walsheim Pro Regular" w:hAnsi="GT Walsheim Pro Regular"/>
          <w:b/>
          <w:bCs/>
          <w:color w:val="3B3838" w:themeColor="background2" w:themeShade="40"/>
          <w:sz w:val="20"/>
          <w:szCs w:val="20"/>
        </w:rPr>
        <w:t xml:space="preserve"> 2020)</w:t>
      </w:r>
    </w:p>
    <w:p w14:paraId="51A847E1" w14:textId="77777777" w:rsidR="00F9109A" w:rsidRPr="007C33E8" w:rsidRDefault="00F9109A" w:rsidP="007C33E8">
      <w:pPr>
        <w:ind w:left="-567" w:right="-563"/>
        <w:jc w:val="both"/>
        <w:rPr>
          <w:rFonts w:ascii="GT Walsheim Pro Regular" w:hAnsi="GT Walsheim Pro Regular"/>
          <w:color w:val="3B3838" w:themeColor="background2" w:themeShade="40"/>
          <w:sz w:val="20"/>
          <w:szCs w:val="20"/>
        </w:rPr>
      </w:pPr>
    </w:p>
    <w:p w14:paraId="1B241F56" w14:textId="454B238A" w:rsidR="008327FC" w:rsidRPr="007C33E8" w:rsidRDefault="008327FC" w:rsidP="007C33E8">
      <w:pPr>
        <w:spacing w:line="360" w:lineRule="auto"/>
        <w:ind w:left="-567"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I</w:t>
      </w:r>
      <w:r w:rsidR="00F67422" w:rsidRPr="007C33E8">
        <w:rPr>
          <w:rFonts w:ascii="GT Walsheim Pro Regular" w:hAnsi="GT Walsheim Pro Regular"/>
          <w:color w:val="3B3838" w:themeColor="background2" w:themeShade="40"/>
          <w:sz w:val="20"/>
          <w:szCs w:val="20"/>
        </w:rPr>
        <w:t>mplements Sections 1113 to 1117, 1119 to 1125, 1126 to 1128 of the Customs Modernization and Tariff Act (“CMTA”) with respect to seizure and forfeiture proceedings and the appeal process from such proceedings</w:t>
      </w:r>
      <w:r w:rsidRPr="007C33E8">
        <w:rPr>
          <w:rFonts w:ascii="GT Walsheim Pro Regular" w:hAnsi="GT Walsheim Pro Regular"/>
          <w:color w:val="3B3838" w:themeColor="background2" w:themeShade="40"/>
          <w:sz w:val="20"/>
          <w:szCs w:val="20"/>
        </w:rPr>
        <w:t>, and</w:t>
      </w:r>
      <w:r w:rsidR="00F67422" w:rsidRPr="007C33E8">
        <w:rPr>
          <w:rFonts w:ascii="GT Walsheim Pro Regular" w:hAnsi="GT Walsheim Pro Regular"/>
          <w:color w:val="3B3838" w:themeColor="background2" w:themeShade="40"/>
          <w:sz w:val="20"/>
          <w:szCs w:val="20"/>
        </w:rPr>
        <w:t xml:space="preserve"> covers all properties subject to seizure and forfeiture under Section 1113 of the CMTA.</w:t>
      </w:r>
    </w:p>
    <w:p w14:paraId="69CF78F8" w14:textId="531151CA" w:rsidR="00DD4772" w:rsidRDefault="00F67422" w:rsidP="00DD4772">
      <w:r w:rsidRPr="00871CF0">
        <w:t xml:space="preserve"> </w:t>
      </w:r>
    </w:p>
    <w:p w14:paraId="2C735814" w14:textId="285ECEBD" w:rsidR="00F67422" w:rsidRPr="007C33E8" w:rsidRDefault="00F67422" w:rsidP="007C33E8">
      <w:pPr>
        <w:pStyle w:val="Heading1"/>
        <w:spacing w:before="0"/>
        <w:ind w:left="-567" w:right="-563"/>
        <w:rPr>
          <w:rFonts w:ascii="Arial" w:hAnsi="Arial" w:cs="Arial"/>
          <w:b/>
          <w:bCs/>
          <w:color w:val="000000" w:themeColor="text1"/>
          <w:sz w:val="24"/>
          <w:szCs w:val="24"/>
        </w:rPr>
      </w:pPr>
      <w:bookmarkStart w:id="27" w:name="_Toc50141444"/>
      <w:r w:rsidRPr="007C33E8">
        <w:rPr>
          <w:rFonts w:ascii="Arial" w:hAnsi="Arial" w:cs="Arial"/>
          <w:b/>
          <w:bCs/>
          <w:color w:val="C45911" w:themeColor="accent2" w:themeShade="BF"/>
          <w:sz w:val="24"/>
          <w:szCs w:val="24"/>
        </w:rPr>
        <w:t>Customs Memorandum Circulars</w:t>
      </w:r>
      <w:r w:rsidR="00DF427C" w:rsidRPr="007C33E8">
        <w:rPr>
          <w:rFonts w:ascii="Arial" w:hAnsi="Arial" w:cs="Arial"/>
          <w:b/>
          <w:bCs/>
          <w:color w:val="C45911" w:themeColor="accent2" w:themeShade="BF"/>
          <w:sz w:val="24"/>
          <w:szCs w:val="24"/>
        </w:rPr>
        <w:t xml:space="preserve"> (CMC)</w:t>
      </w:r>
      <w:bookmarkEnd w:id="27"/>
    </w:p>
    <w:p w14:paraId="4A38DDAD" w14:textId="77777777" w:rsidR="00325CC6" w:rsidRPr="00871CF0" w:rsidRDefault="00325CC6" w:rsidP="007C33E8">
      <w:pPr>
        <w:ind w:left="-567" w:right="-563"/>
        <w:rPr>
          <w:color w:val="C45911" w:themeColor="accent2" w:themeShade="BF"/>
        </w:rPr>
      </w:pPr>
    </w:p>
    <w:p w14:paraId="35B3F352" w14:textId="7DCBB2D3" w:rsidR="00052AF3" w:rsidRPr="007C33E8" w:rsidRDefault="009374CB" w:rsidP="007C33E8">
      <w:pPr>
        <w:pStyle w:val="Heading1"/>
        <w:ind w:left="-567" w:right="-563"/>
      </w:pPr>
      <w:bookmarkStart w:id="28" w:name="_Toc50141445"/>
      <w:r>
        <w:rPr>
          <w:rFonts w:ascii="Arial" w:hAnsi="Arial" w:cs="Arial"/>
          <w:color w:val="C45911" w:themeColor="accent2" w:themeShade="BF"/>
          <w:sz w:val="24"/>
          <w:szCs w:val="24"/>
        </w:rPr>
        <w:t>Export authorization application process for trade of strategic goods</w:t>
      </w:r>
      <w:bookmarkEnd w:id="28"/>
    </w:p>
    <w:p w14:paraId="6006D440" w14:textId="4C88AACC" w:rsidR="00F67422" w:rsidRPr="007C33E8" w:rsidRDefault="00F67422" w:rsidP="007C33E8">
      <w:pPr>
        <w:ind w:left="-567" w:right="-563"/>
        <w:rPr>
          <w:rFonts w:ascii="GT Walsheim Pro Regular" w:hAnsi="GT Walsheim Pro Regular"/>
          <w:color w:val="3B3838" w:themeColor="background2" w:themeShade="40"/>
          <w:sz w:val="20"/>
          <w:szCs w:val="20"/>
        </w:rPr>
      </w:pPr>
      <w:r w:rsidRPr="007C33E8">
        <w:rPr>
          <w:rFonts w:ascii="GT Walsheim Pro Regular" w:hAnsi="GT Walsheim Pro Regular"/>
          <w:b/>
          <w:bCs/>
          <w:color w:val="3B3838" w:themeColor="background2" w:themeShade="40"/>
          <w:sz w:val="20"/>
          <w:szCs w:val="20"/>
        </w:rPr>
        <w:t>CMC</w:t>
      </w:r>
      <w:r w:rsidR="00DF427C" w:rsidRPr="007C33E8">
        <w:rPr>
          <w:rFonts w:ascii="GT Walsheim Pro Regular" w:hAnsi="GT Walsheim Pro Regular"/>
          <w:b/>
          <w:bCs/>
          <w:color w:val="3B3838" w:themeColor="background2" w:themeShade="40"/>
          <w:sz w:val="20"/>
          <w:szCs w:val="20"/>
        </w:rPr>
        <w:t xml:space="preserve"> </w:t>
      </w:r>
      <w:r w:rsidRPr="007C33E8">
        <w:rPr>
          <w:rFonts w:ascii="GT Walsheim Pro Regular" w:hAnsi="GT Walsheim Pro Regular"/>
          <w:b/>
          <w:bCs/>
          <w:color w:val="3B3838" w:themeColor="background2" w:themeShade="40"/>
          <w:sz w:val="20"/>
          <w:szCs w:val="20"/>
        </w:rPr>
        <w:t>No. 168-2020</w:t>
      </w:r>
      <w:r w:rsidRPr="007C33E8">
        <w:rPr>
          <w:rFonts w:ascii="GT Walsheim Pro Regular" w:hAnsi="GT Walsheim Pro Regular"/>
          <w:color w:val="3B3838" w:themeColor="background2" w:themeShade="40"/>
          <w:sz w:val="20"/>
          <w:szCs w:val="20"/>
        </w:rPr>
        <w:t xml:space="preserve"> </w:t>
      </w:r>
    </w:p>
    <w:p w14:paraId="0109850E" w14:textId="77777777" w:rsidR="00F67422" w:rsidRPr="007C33E8" w:rsidRDefault="00F67422" w:rsidP="007C33E8">
      <w:pPr>
        <w:ind w:left="-567" w:right="-563"/>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June 17, 2020</w:t>
      </w:r>
    </w:p>
    <w:p w14:paraId="6542097B" w14:textId="77777777" w:rsidR="00F67422" w:rsidRPr="007C33E8" w:rsidRDefault="00F67422" w:rsidP="007C33E8">
      <w:pPr>
        <w:ind w:left="-567" w:right="-563"/>
        <w:rPr>
          <w:rFonts w:ascii="GT Walsheim Pro Regular" w:hAnsi="GT Walsheim Pro Regular"/>
          <w:color w:val="3B3838" w:themeColor="background2" w:themeShade="40"/>
          <w:sz w:val="20"/>
          <w:szCs w:val="20"/>
        </w:rPr>
      </w:pPr>
    </w:p>
    <w:p w14:paraId="317291A5" w14:textId="3FE4C6B9" w:rsidR="00F67422" w:rsidRPr="007C33E8" w:rsidRDefault="00325CC6" w:rsidP="007C33E8">
      <w:pPr>
        <w:spacing w:line="360" w:lineRule="auto"/>
        <w:ind w:left="-567"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C</w:t>
      </w:r>
      <w:r w:rsidR="00F67422" w:rsidRPr="007C33E8">
        <w:rPr>
          <w:rFonts w:ascii="GT Walsheim Pro Regular" w:hAnsi="GT Walsheim Pro Regular"/>
          <w:color w:val="3B3838" w:themeColor="background2" w:themeShade="40"/>
          <w:sz w:val="20"/>
          <w:szCs w:val="20"/>
        </w:rPr>
        <w:t>irculate</w:t>
      </w:r>
      <w:r w:rsidRPr="007C33E8">
        <w:rPr>
          <w:rFonts w:ascii="GT Walsheim Pro Regular" w:hAnsi="GT Walsheim Pro Regular"/>
          <w:color w:val="3B3838" w:themeColor="background2" w:themeShade="40"/>
          <w:sz w:val="20"/>
          <w:szCs w:val="20"/>
        </w:rPr>
        <w:t>d</w:t>
      </w:r>
      <w:r w:rsidR="00F67422" w:rsidRPr="007C33E8">
        <w:rPr>
          <w:rFonts w:ascii="GT Walsheim Pro Regular" w:hAnsi="GT Walsheim Pro Regular"/>
          <w:color w:val="3B3838" w:themeColor="background2" w:themeShade="40"/>
          <w:sz w:val="20"/>
          <w:szCs w:val="20"/>
        </w:rPr>
        <w:t xml:space="preserve"> </w:t>
      </w:r>
      <w:r w:rsidRPr="007C33E8">
        <w:rPr>
          <w:rFonts w:ascii="GT Walsheim Pro Regular" w:hAnsi="GT Walsheim Pro Regular"/>
          <w:color w:val="3B3838" w:themeColor="background2" w:themeShade="40"/>
          <w:sz w:val="20"/>
          <w:szCs w:val="20"/>
        </w:rPr>
        <w:t xml:space="preserve">the </w:t>
      </w:r>
      <w:r w:rsidR="00F67422" w:rsidRPr="007C33E8">
        <w:rPr>
          <w:rFonts w:ascii="GT Walsheim Pro Regular" w:hAnsi="GT Walsheim Pro Regular"/>
          <w:color w:val="3B3838" w:themeColor="background2" w:themeShade="40"/>
          <w:sz w:val="20"/>
          <w:szCs w:val="20"/>
        </w:rPr>
        <w:t>Strategic Trade Management Office (STMO) Memorandum Circular No. 20-16 or the Guidelines on Export Authorization for guidance of all persons registered under Rep. Act No. 10697 or the Strategic Trade Management Act with respect to export authorization application process for trade of strategic goods.</w:t>
      </w:r>
    </w:p>
    <w:p w14:paraId="134A43B5" w14:textId="77777777" w:rsidR="00F67422" w:rsidRPr="00871CF0" w:rsidRDefault="00F67422" w:rsidP="007C33E8">
      <w:pPr>
        <w:ind w:left="-567"/>
      </w:pPr>
    </w:p>
    <w:p w14:paraId="3D80F9BB" w14:textId="0A985286" w:rsidR="00052AF3" w:rsidRPr="007C33E8" w:rsidRDefault="00052AF3" w:rsidP="007C33E8">
      <w:pPr>
        <w:pStyle w:val="Heading1"/>
        <w:spacing w:before="0"/>
        <w:ind w:left="-567" w:right="-563"/>
        <w:jc w:val="both"/>
        <w:rPr>
          <w:rFonts w:ascii="Arial" w:hAnsi="Arial" w:cs="Arial"/>
          <w:color w:val="C45911" w:themeColor="accent2" w:themeShade="BF"/>
          <w:sz w:val="24"/>
          <w:szCs w:val="24"/>
        </w:rPr>
      </w:pPr>
      <w:bookmarkStart w:id="29" w:name="_Toc50141446"/>
      <w:r w:rsidRPr="007C33E8">
        <w:rPr>
          <w:rFonts w:ascii="Arial" w:hAnsi="Arial" w:cs="Arial"/>
          <w:color w:val="C45911" w:themeColor="accent2" w:themeShade="BF"/>
          <w:sz w:val="24"/>
          <w:szCs w:val="24"/>
        </w:rPr>
        <w:t>Guidelines on importation of shipments containing Mercury,</w:t>
      </w:r>
      <w:r w:rsidR="004B3680">
        <w:rPr>
          <w:rFonts w:ascii="Arial" w:hAnsi="Arial" w:cs="Arial"/>
          <w:color w:val="C45911" w:themeColor="accent2" w:themeShade="BF"/>
          <w:sz w:val="24"/>
          <w:szCs w:val="24"/>
        </w:rPr>
        <w:t xml:space="preserve"> </w:t>
      </w:r>
      <w:r w:rsidRPr="007C33E8">
        <w:rPr>
          <w:rFonts w:ascii="Arial" w:hAnsi="Arial" w:cs="Arial"/>
          <w:color w:val="C45911" w:themeColor="accent2" w:themeShade="BF"/>
          <w:sz w:val="24"/>
          <w:szCs w:val="24"/>
        </w:rPr>
        <w:t>Mercury-compounds, and Mercury-added products</w:t>
      </w:r>
      <w:bookmarkEnd w:id="29"/>
    </w:p>
    <w:p w14:paraId="23142549" w14:textId="533F5283" w:rsidR="00F67422" w:rsidRPr="007C33E8" w:rsidRDefault="00F67422" w:rsidP="007C33E8">
      <w:pPr>
        <w:ind w:left="-567" w:right="-563"/>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 xml:space="preserve">CMC No. 177-2020 </w:t>
      </w:r>
    </w:p>
    <w:p w14:paraId="56E733A4" w14:textId="77777777" w:rsidR="00F67422" w:rsidRPr="007C33E8" w:rsidRDefault="00F67422" w:rsidP="007C33E8">
      <w:pPr>
        <w:ind w:left="-567" w:right="-563"/>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July 2, 2020</w:t>
      </w:r>
    </w:p>
    <w:p w14:paraId="7EB4F769" w14:textId="77777777" w:rsidR="00F67422" w:rsidRPr="007C33E8" w:rsidRDefault="00F67422" w:rsidP="007C33E8">
      <w:pPr>
        <w:ind w:left="-567" w:right="-563"/>
        <w:rPr>
          <w:rFonts w:ascii="GT Walsheim Pro Regular" w:hAnsi="GT Walsheim Pro Regular"/>
          <w:color w:val="3B3838" w:themeColor="background2" w:themeShade="40"/>
          <w:sz w:val="20"/>
          <w:szCs w:val="20"/>
        </w:rPr>
      </w:pPr>
    </w:p>
    <w:p w14:paraId="7F84795E" w14:textId="32B0976E" w:rsidR="00F67422" w:rsidRPr="007C33E8" w:rsidRDefault="00325CC6" w:rsidP="007C33E8">
      <w:pPr>
        <w:spacing w:line="360" w:lineRule="auto"/>
        <w:ind w:left="-567"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C</w:t>
      </w:r>
      <w:r w:rsidR="00F67422" w:rsidRPr="007C33E8">
        <w:rPr>
          <w:rFonts w:ascii="GT Walsheim Pro Regular" w:hAnsi="GT Walsheim Pro Regular"/>
          <w:color w:val="3B3838" w:themeColor="background2" w:themeShade="40"/>
          <w:sz w:val="20"/>
          <w:szCs w:val="20"/>
        </w:rPr>
        <w:t>irculate</w:t>
      </w:r>
      <w:r w:rsidRPr="007C33E8">
        <w:rPr>
          <w:rFonts w:ascii="GT Walsheim Pro Regular" w:hAnsi="GT Walsheim Pro Regular"/>
          <w:color w:val="3B3838" w:themeColor="background2" w:themeShade="40"/>
          <w:sz w:val="20"/>
          <w:szCs w:val="20"/>
        </w:rPr>
        <w:t>d</w:t>
      </w:r>
      <w:r w:rsidR="00F67422" w:rsidRPr="007C33E8">
        <w:rPr>
          <w:rFonts w:ascii="GT Walsheim Pro Regular" w:hAnsi="GT Walsheim Pro Regular"/>
          <w:color w:val="3B3838" w:themeColor="background2" w:themeShade="40"/>
          <w:sz w:val="20"/>
          <w:szCs w:val="20"/>
        </w:rPr>
        <w:t xml:space="preserve"> DENR Administrative Order No. 2019-20 entitled Revised Chemical Control Order (CCO) for Mercury and Mercury Compounds (Revising DENR Administrative Order No. 1997-38). Under this CMC, the Commissioner of Customs directed BOC officials to implement Sections 6 and 8 of </w:t>
      </w:r>
      <w:r w:rsidR="005F6E48" w:rsidRPr="007C33E8">
        <w:rPr>
          <w:rFonts w:ascii="GT Walsheim Pro Regular" w:hAnsi="GT Walsheim Pro Regular"/>
          <w:color w:val="3B3838" w:themeColor="background2" w:themeShade="40"/>
          <w:sz w:val="20"/>
          <w:szCs w:val="20"/>
        </w:rPr>
        <w:t xml:space="preserve">the aforementioned </w:t>
      </w:r>
      <w:r w:rsidR="00F67422" w:rsidRPr="007C33E8">
        <w:rPr>
          <w:rFonts w:ascii="GT Walsheim Pro Regular" w:hAnsi="GT Walsheim Pro Regular"/>
          <w:color w:val="3B3838" w:themeColor="background2" w:themeShade="40"/>
          <w:sz w:val="20"/>
          <w:szCs w:val="20"/>
        </w:rPr>
        <w:t>DENR Administrative Order</w:t>
      </w:r>
      <w:r w:rsidR="00D063B0" w:rsidRPr="007C33E8">
        <w:rPr>
          <w:rFonts w:ascii="GT Walsheim Pro Regular" w:hAnsi="GT Walsheim Pro Regular"/>
          <w:color w:val="3B3838" w:themeColor="background2" w:themeShade="40"/>
          <w:sz w:val="20"/>
          <w:szCs w:val="20"/>
        </w:rPr>
        <w:t>, specifically</w:t>
      </w:r>
      <w:r w:rsidR="00F67422" w:rsidRPr="007C33E8">
        <w:rPr>
          <w:rFonts w:ascii="GT Walsheim Pro Regular" w:hAnsi="GT Walsheim Pro Regular"/>
          <w:color w:val="3B3838" w:themeColor="background2" w:themeShade="40"/>
          <w:sz w:val="20"/>
          <w:szCs w:val="20"/>
        </w:rPr>
        <w:t xml:space="preserve"> with respect to </w:t>
      </w:r>
      <w:r w:rsidR="00D063B0" w:rsidRPr="007C33E8">
        <w:rPr>
          <w:rFonts w:ascii="GT Walsheim Pro Regular" w:hAnsi="GT Walsheim Pro Regular"/>
          <w:color w:val="3B3838" w:themeColor="background2" w:themeShade="40"/>
          <w:sz w:val="20"/>
          <w:szCs w:val="20"/>
        </w:rPr>
        <w:t xml:space="preserve">the </w:t>
      </w:r>
      <w:r w:rsidR="00F67422" w:rsidRPr="007C33E8">
        <w:rPr>
          <w:rFonts w:ascii="GT Walsheim Pro Regular" w:hAnsi="GT Walsheim Pro Regular"/>
          <w:color w:val="3B3838" w:themeColor="background2" w:themeShade="40"/>
          <w:sz w:val="20"/>
          <w:szCs w:val="20"/>
        </w:rPr>
        <w:t>importation of shipments containing Mercury, Mercury-compounds, and Mercury-added products</w:t>
      </w:r>
      <w:r w:rsidR="006428AF" w:rsidRPr="007C33E8">
        <w:rPr>
          <w:rFonts w:ascii="GT Walsheim Pro Regular" w:hAnsi="GT Walsheim Pro Regular"/>
          <w:color w:val="3B3838" w:themeColor="background2" w:themeShade="40"/>
          <w:sz w:val="20"/>
          <w:szCs w:val="20"/>
        </w:rPr>
        <w:t xml:space="preserve"> – with t</w:t>
      </w:r>
      <w:r w:rsidR="00F67422" w:rsidRPr="007C33E8">
        <w:rPr>
          <w:rFonts w:ascii="GT Walsheim Pro Regular" w:hAnsi="GT Walsheim Pro Regular"/>
          <w:color w:val="3B3838" w:themeColor="background2" w:themeShade="40"/>
          <w:sz w:val="20"/>
          <w:szCs w:val="20"/>
        </w:rPr>
        <w:t>he disposition of forfeited/abandoned goods turned over to the DENR.</w:t>
      </w:r>
    </w:p>
    <w:p w14:paraId="1830FFAA" w14:textId="77777777" w:rsidR="00F67422" w:rsidRPr="00871CF0" w:rsidRDefault="00F67422" w:rsidP="001D2A2C"/>
    <w:p w14:paraId="68B40337" w14:textId="68F7B84D" w:rsidR="00B0062D" w:rsidRPr="007C33E8" w:rsidRDefault="00F67422" w:rsidP="007C33E8">
      <w:pPr>
        <w:pStyle w:val="Heading1"/>
        <w:spacing w:before="0"/>
        <w:ind w:left="-567"/>
        <w:rPr>
          <w:rFonts w:ascii="Arial" w:hAnsi="Arial" w:cs="Arial"/>
          <w:b/>
          <w:bCs/>
          <w:color w:val="C45911" w:themeColor="accent2" w:themeShade="BF"/>
          <w:sz w:val="24"/>
          <w:szCs w:val="24"/>
        </w:rPr>
      </w:pPr>
      <w:bookmarkStart w:id="30" w:name="_Toc50141447"/>
      <w:r w:rsidRPr="007C33E8">
        <w:rPr>
          <w:rFonts w:ascii="Arial" w:hAnsi="Arial" w:cs="Arial"/>
          <w:b/>
          <w:bCs/>
          <w:color w:val="C45911" w:themeColor="accent2" w:themeShade="BF"/>
          <w:sz w:val="24"/>
          <w:szCs w:val="24"/>
        </w:rPr>
        <w:t xml:space="preserve">Customs Memorandum Orders </w:t>
      </w:r>
      <w:r w:rsidR="00DF427C" w:rsidRPr="007C33E8">
        <w:rPr>
          <w:rFonts w:ascii="Arial" w:hAnsi="Arial" w:cs="Arial"/>
          <w:b/>
          <w:bCs/>
          <w:color w:val="C45911" w:themeColor="accent2" w:themeShade="BF"/>
          <w:sz w:val="24"/>
          <w:szCs w:val="24"/>
        </w:rPr>
        <w:t>(CMO)</w:t>
      </w:r>
      <w:bookmarkEnd w:id="30"/>
    </w:p>
    <w:p w14:paraId="693BE27F" w14:textId="77777777" w:rsidR="006428AF" w:rsidRPr="00871CF0" w:rsidRDefault="006428AF" w:rsidP="007C33E8">
      <w:pPr>
        <w:ind w:left="-567"/>
      </w:pPr>
    </w:p>
    <w:p w14:paraId="069C2257" w14:textId="77777777" w:rsidR="00C45D35" w:rsidRDefault="00C45D35" w:rsidP="007C33E8">
      <w:pPr>
        <w:pStyle w:val="Heading1"/>
        <w:spacing w:before="0"/>
        <w:ind w:left="-567" w:right="-563"/>
        <w:jc w:val="both"/>
        <w:rPr>
          <w:rFonts w:ascii="Arial" w:hAnsi="Arial" w:cs="Arial"/>
          <w:color w:val="C45911" w:themeColor="accent2" w:themeShade="BF"/>
          <w:sz w:val="24"/>
          <w:szCs w:val="24"/>
        </w:rPr>
      </w:pPr>
      <w:bookmarkStart w:id="31" w:name="_Toc50141448"/>
    </w:p>
    <w:p w14:paraId="639608D5" w14:textId="0798A91B" w:rsidR="00052AF3" w:rsidRPr="007C33E8" w:rsidRDefault="00052AF3" w:rsidP="007C33E8">
      <w:pPr>
        <w:pStyle w:val="Heading1"/>
        <w:spacing w:before="0"/>
        <w:ind w:left="-567" w:right="-563"/>
        <w:jc w:val="both"/>
        <w:rPr>
          <w:rFonts w:ascii="Arial" w:hAnsi="Arial" w:cs="Arial"/>
          <w:b/>
          <w:bCs/>
          <w:color w:val="C45911" w:themeColor="accent2" w:themeShade="BF"/>
          <w:sz w:val="24"/>
          <w:szCs w:val="24"/>
        </w:rPr>
      </w:pPr>
      <w:r w:rsidRPr="007C33E8">
        <w:rPr>
          <w:rFonts w:ascii="Arial" w:hAnsi="Arial" w:cs="Arial"/>
          <w:color w:val="C45911" w:themeColor="accent2" w:themeShade="BF"/>
          <w:sz w:val="24"/>
          <w:szCs w:val="24"/>
        </w:rPr>
        <w:t>Implementation of enhanced Value Reference Information System (e-VRIS) in the BOC’s electronic to mobile (E2M) system</w:t>
      </w:r>
      <w:bookmarkEnd w:id="31"/>
    </w:p>
    <w:p w14:paraId="10F84178" w14:textId="76CCB212" w:rsidR="00F67422" w:rsidRPr="007C33E8" w:rsidRDefault="00F67422" w:rsidP="007C33E8">
      <w:pPr>
        <w:ind w:left="-567" w:right="-563"/>
        <w:rPr>
          <w:rFonts w:ascii="GT Walsheim Pro Regular" w:hAnsi="GT Walsheim Pro Regular"/>
          <w:color w:val="3B3838" w:themeColor="background2" w:themeShade="40"/>
          <w:sz w:val="20"/>
          <w:szCs w:val="20"/>
        </w:rPr>
      </w:pPr>
      <w:r w:rsidRPr="007C33E8">
        <w:rPr>
          <w:rFonts w:ascii="GT Walsheim Pro Regular" w:hAnsi="GT Walsheim Pro Regular"/>
          <w:b/>
          <w:bCs/>
          <w:color w:val="3B3838" w:themeColor="background2" w:themeShade="40"/>
          <w:sz w:val="20"/>
          <w:szCs w:val="20"/>
        </w:rPr>
        <w:t xml:space="preserve">CMO No. 16-2020 </w:t>
      </w:r>
    </w:p>
    <w:p w14:paraId="1EF44E9F" w14:textId="77777777" w:rsidR="00F67422" w:rsidRPr="007C33E8" w:rsidRDefault="00F67422" w:rsidP="007C33E8">
      <w:pPr>
        <w:ind w:left="-567" w:right="-563"/>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rPr>
        <w:t>July 6, 2020</w:t>
      </w:r>
    </w:p>
    <w:p w14:paraId="1D78DBD1" w14:textId="77777777" w:rsidR="00F67422" w:rsidRPr="007C33E8" w:rsidRDefault="00F67422" w:rsidP="007C33E8">
      <w:pPr>
        <w:ind w:left="-567" w:right="-563"/>
        <w:jc w:val="both"/>
        <w:rPr>
          <w:rFonts w:ascii="GT Walsheim Pro Regular" w:hAnsi="GT Walsheim Pro Regular"/>
          <w:color w:val="3B3838" w:themeColor="background2" w:themeShade="40"/>
          <w:sz w:val="20"/>
          <w:szCs w:val="20"/>
        </w:rPr>
      </w:pPr>
    </w:p>
    <w:p w14:paraId="4095A14A" w14:textId="25D84F08" w:rsidR="00F67422" w:rsidRPr="007C33E8" w:rsidRDefault="006428AF" w:rsidP="007C33E8">
      <w:pPr>
        <w:spacing w:line="360" w:lineRule="auto"/>
        <w:ind w:left="-567"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I</w:t>
      </w:r>
      <w:r w:rsidR="00F67422" w:rsidRPr="007C33E8">
        <w:rPr>
          <w:rFonts w:ascii="GT Walsheim Pro Regular" w:hAnsi="GT Walsheim Pro Regular"/>
          <w:color w:val="3B3838" w:themeColor="background2" w:themeShade="40"/>
          <w:sz w:val="20"/>
          <w:szCs w:val="20"/>
        </w:rPr>
        <w:t>mplements an enhanced Value Reference Information System (e-VRIS) in the BOC’s electronic to mobile (E2M) system which will serve as comprehensive database of information on the value and classification of imports for reference purposes. Under the CMO, the reference values stored in the e-VRIS will serve as a tool to ascertain the veracity of any statement, document, or declaration presented for customs valuation purposes.</w:t>
      </w:r>
    </w:p>
    <w:p w14:paraId="0E8CEF94" w14:textId="77777777" w:rsidR="00FB2C47" w:rsidRDefault="00FB2C47" w:rsidP="007C33E8">
      <w:pPr>
        <w:pStyle w:val="Heading1"/>
        <w:ind w:left="-567" w:right="-563"/>
        <w:contextualSpacing/>
        <w:rPr>
          <w:rFonts w:ascii="Arial" w:hAnsi="Arial" w:cs="Arial"/>
          <w:b/>
          <w:bCs/>
          <w:color w:val="C45911" w:themeColor="accent2" w:themeShade="BF"/>
          <w:sz w:val="24"/>
          <w:szCs w:val="24"/>
        </w:rPr>
      </w:pPr>
    </w:p>
    <w:p w14:paraId="579F6F36" w14:textId="56D8B68E" w:rsidR="000F4E1B" w:rsidRPr="007C33E8" w:rsidRDefault="00A511AF" w:rsidP="007C33E8">
      <w:pPr>
        <w:pStyle w:val="Heading1"/>
        <w:ind w:left="-567" w:right="-563"/>
        <w:contextualSpacing/>
        <w:rPr>
          <w:rFonts w:ascii="Arial" w:hAnsi="Arial" w:cs="Arial"/>
          <w:sz w:val="24"/>
          <w:szCs w:val="24"/>
        </w:rPr>
      </w:pPr>
      <w:bookmarkStart w:id="32" w:name="_Toc50141449"/>
      <w:r>
        <w:rPr>
          <w:rFonts w:ascii="Arial" w:hAnsi="Arial" w:cs="Arial"/>
          <w:b/>
          <w:bCs/>
          <w:color w:val="C45911" w:themeColor="accent2" w:themeShade="BF"/>
          <w:sz w:val="24"/>
          <w:szCs w:val="24"/>
        </w:rPr>
        <w:t>Other BOC issuances</w:t>
      </w:r>
      <w:bookmarkEnd w:id="32"/>
      <w:r>
        <w:rPr>
          <w:rFonts w:ascii="Arial" w:hAnsi="Arial" w:cs="Arial"/>
          <w:b/>
          <w:bCs/>
          <w:color w:val="C45911" w:themeColor="accent2" w:themeShade="BF"/>
          <w:sz w:val="24"/>
          <w:szCs w:val="24"/>
        </w:rPr>
        <w:t xml:space="preserve"> </w:t>
      </w:r>
    </w:p>
    <w:p w14:paraId="6E5794C1" w14:textId="77777777" w:rsidR="006428AF" w:rsidRPr="00871CF0" w:rsidRDefault="006428AF" w:rsidP="007C33E8">
      <w:pPr>
        <w:ind w:left="-567" w:right="-563"/>
      </w:pPr>
    </w:p>
    <w:p w14:paraId="51347C7D" w14:textId="2D6D5D42" w:rsidR="00F67422" w:rsidRPr="007C33E8" w:rsidRDefault="00F67422" w:rsidP="007C33E8">
      <w:pPr>
        <w:pStyle w:val="Heading1"/>
        <w:spacing w:before="0"/>
        <w:ind w:left="-567" w:right="-563"/>
        <w:rPr>
          <w:rFonts w:ascii="GT Walsheim Pro Regular" w:hAnsi="GT Walsheim Pro Regular" w:cs="Times New Roman"/>
          <w:i/>
          <w:iCs/>
          <w:color w:val="3B3838" w:themeColor="background2" w:themeShade="40"/>
          <w:sz w:val="20"/>
          <w:szCs w:val="20"/>
        </w:rPr>
      </w:pPr>
      <w:bookmarkStart w:id="33" w:name="_Toc50141450"/>
      <w:r w:rsidRPr="007C33E8">
        <w:rPr>
          <w:rFonts w:ascii="GT Walsheim Pro Regular" w:hAnsi="GT Walsheim Pro Regular" w:cs="Times New Roman"/>
          <w:i/>
          <w:iCs/>
          <w:color w:val="3B3838" w:themeColor="background2" w:themeShade="40"/>
          <w:sz w:val="20"/>
          <w:szCs w:val="20"/>
        </w:rPr>
        <w:t>Office of the Commissioner (OCOM) Memo No. 128-2020</w:t>
      </w:r>
      <w:bookmarkEnd w:id="33"/>
    </w:p>
    <w:p w14:paraId="1136A0B8" w14:textId="77777777" w:rsidR="00052AF3" w:rsidRPr="007C33E8" w:rsidRDefault="00052AF3" w:rsidP="007C33E8">
      <w:pPr>
        <w:ind w:left="-567" w:right="-563"/>
        <w:jc w:val="both"/>
        <w:rPr>
          <w:rFonts w:ascii="GT Walsheim Pro Regular" w:hAnsi="GT Walsheim Pro Regular"/>
          <w:color w:val="3B3838" w:themeColor="background2" w:themeShade="40"/>
          <w:sz w:val="20"/>
          <w:szCs w:val="20"/>
        </w:rPr>
      </w:pPr>
    </w:p>
    <w:p w14:paraId="65989B41" w14:textId="6241A05F" w:rsidR="00F67422" w:rsidRPr="00DD4772" w:rsidRDefault="00F67422" w:rsidP="007C33E8">
      <w:pPr>
        <w:spacing w:line="360" w:lineRule="auto"/>
        <w:ind w:left="-567"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Due to the lapse of effectivity of the Bayanihan to Heal as One Act on June</w:t>
      </w:r>
      <w:r w:rsidR="00DF427C" w:rsidRPr="007C33E8">
        <w:rPr>
          <w:rFonts w:ascii="GT Walsheim Pro Regular" w:hAnsi="GT Walsheim Pro Regular"/>
          <w:color w:val="3B3838" w:themeColor="background2" w:themeShade="40"/>
          <w:sz w:val="20"/>
          <w:szCs w:val="20"/>
        </w:rPr>
        <w:t xml:space="preserve"> 24,</w:t>
      </w:r>
      <w:r w:rsidRPr="007C33E8">
        <w:rPr>
          <w:rFonts w:ascii="GT Walsheim Pro Regular" w:hAnsi="GT Walsheim Pro Regular"/>
          <w:color w:val="3B3838" w:themeColor="background2" w:themeShade="40"/>
          <w:sz w:val="20"/>
          <w:szCs w:val="20"/>
        </w:rPr>
        <w:t xml:space="preserve"> 2020, the modified rates of import duty on certain crude petroleum oil and refined petroleum products under EO 113 shall revert to 0% starting June</w:t>
      </w:r>
      <w:r w:rsidR="00DF427C" w:rsidRPr="007C33E8">
        <w:rPr>
          <w:rFonts w:ascii="GT Walsheim Pro Regular" w:hAnsi="GT Walsheim Pro Regular"/>
          <w:color w:val="3B3838" w:themeColor="background2" w:themeShade="40"/>
          <w:sz w:val="20"/>
          <w:szCs w:val="20"/>
        </w:rPr>
        <w:t xml:space="preserve"> 25,</w:t>
      </w:r>
      <w:r w:rsidRPr="007C33E8">
        <w:rPr>
          <w:rFonts w:ascii="GT Walsheim Pro Regular" w:hAnsi="GT Walsheim Pro Regular"/>
          <w:color w:val="3B3838" w:themeColor="background2" w:themeShade="40"/>
          <w:sz w:val="20"/>
          <w:szCs w:val="20"/>
        </w:rPr>
        <w:t xml:space="preserve"> 2020.</w:t>
      </w:r>
    </w:p>
    <w:p w14:paraId="16828617" w14:textId="11627A5E" w:rsidR="00DD4772" w:rsidRPr="007C33E8" w:rsidRDefault="00F67422" w:rsidP="007C33E8">
      <w:pPr>
        <w:pStyle w:val="Heading1"/>
        <w:ind w:left="-567" w:right="-563"/>
        <w:rPr>
          <w:rFonts w:asciiTheme="minorHAnsi" w:hAnsiTheme="minorHAnsi" w:cstheme="minorBidi"/>
          <w:sz w:val="24"/>
          <w:szCs w:val="24"/>
        </w:rPr>
      </w:pPr>
      <w:bookmarkStart w:id="34" w:name="_Toc50141451"/>
      <w:r w:rsidRPr="007C33E8">
        <w:rPr>
          <w:rFonts w:ascii="GT Walsheim Pro Regular" w:hAnsi="GT Walsheim Pro Regular"/>
          <w:i/>
          <w:iCs/>
          <w:color w:val="000000" w:themeColor="text1"/>
          <w:sz w:val="20"/>
          <w:szCs w:val="20"/>
        </w:rPr>
        <w:t>Office of the Commissioner (OCOM) Memo No. 129-2020</w:t>
      </w:r>
      <w:bookmarkEnd w:id="34"/>
    </w:p>
    <w:p w14:paraId="2A47B34B" w14:textId="77777777" w:rsidR="00052AF3" w:rsidRPr="007C33E8" w:rsidRDefault="00052AF3" w:rsidP="007C33E8">
      <w:pPr>
        <w:pStyle w:val="Heading1"/>
        <w:spacing w:before="0"/>
        <w:ind w:left="-567" w:right="-563"/>
        <w:rPr>
          <w:color w:val="3B3838" w:themeColor="background2" w:themeShade="40"/>
          <w:sz w:val="20"/>
          <w:szCs w:val="20"/>
        </w:rPr>
      </w:pPr>
    </w:p>
    <w:p w14:paraId="700951A0" w14:textId="0320BC78" w:rsidR="00F67422" w:rsidRPr="007C33E8" w:rsidRDefault="00F67422" w:rsidP="007C33E8">
      <w:pPr>
        <w:spacing w:line="360" w:lineRule="auto"/>
        <w:ind w:left="-567"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Due to the lapse of effectivity of the Bayanihan to Heal as One Act on June</w:t>
      </w:r>
      <w:r w:rsidR="00DF427C" w:rsidRPr="007C33E8">
        <w:rPr>
          <w:rFonts w:ascii="GT Walsheim Pro Regular" w:hAnsi="GT Walsheim Pro Regular"/>
          <w:color w:val="3B3838" w:themeColor="background2" w:themeShade="40"/>
          <w:sz w:val="20"/>
          <w:szCs w:val="20"/>
        </w:rPr>
        <w:t xml:space="preserve"> 24,</w:t>
      </w:r>
      <w:r w:rsidRPr="007C33E8">
        <w:rPr>
          <w:rFonts w:ascii="GT Walsheim Pro Regular" w:hAnsi="GT Walsheim Pro Regular"/>
          <w:color w:val="3B3838" w:themeColor="background2" w:themeShade="40"/>
          <w:sz w:val="20"/>
          <w:szCs w:val="20"/>
        </w:rPr>
        <w:t xml:space="preserve"> 2020, the grant of exemption from duties and taxes of importations of health equipment and supplies under Section 4(O) of the said law ceases to take effect beginning June</w:t>
      </w:r>
      <w:r w:rsidR="00DF427C" w:rsidRPr="007C33E8">
        <w:rPr>
          <w:rFonts w:ascii="GT Walsheim Pro Regular" w:hAnsi="GT Walsheim Pro Regular"/>
          <w:color w:val="3B3838" w:themeColor="background2" w:themeShade="40"/>
          <w:sz w:val="20"/>
          <w:szCs w:val="20"/>
        </w:rPr>
        <w:t xml:space="preserve"> 25,</w:t>
      </w:r>
      <w:r w:rsidR="008F0A37" w:rsidRPr="007C33E8">
        <w:rPr>
          <w:rFonts w:ascii="GT Walsheim Pro Regular" w:hAnsi="GT Walsheim Pro Regular"/>
          <w:color w:val="3B3838" w:themeColor="background2" w:themeShade="40"/>
          <w:sz w:val="20"/>
          <w:szCs w:val="20"/>
        </w:rPr>
        <w:t xml:space="preserve"> </w:t>
      </w:r>
      <w:r w:rsidRPr="007C33E8">
        <w:rPr>
          <w:rFonts w:ascii="GT Walsheim Pro Regular" w:hAnsi="GT Walsheim Pro Regular"/>
          <w:color w:val="3B3838" w:themeColor="background2" w:themeShade="40"/>
          <w:sz w:val="20"/>
          <w:szCs w:val="20"/>
        </w:rPr>
        <w:t>2020, without prejudice to the availment of the provisions of Section 121 or 800 of the CMTA.</w:t>
      </w:r>
    </w:p>
    <w:p w14:paraId="308D666E" w14:textId="77777777" w:rsidR="00F67422" w:rsidRPr="007C33E8" w:rsidRDefault="00F67422" w:rsidP="007C33E8">
      <w:pPr>
        <w:ind w:right="-563"/>
        <w:jc w:val="both"/>
        <w:rPr>
          <w:rFonts w:ascii="GT Walsheim Pro Regular" w:hAnsi="GT Walsheim Pro Regular"/>
          <w:b/>
          <w:bCs/>
          <w:color w:val="3B3838" w:themeColor="background2" w:themeShade="40"/>
          <w:sz w:val="20"/>
          <w:szCs w:val="20"/>
        </w:rPr>
      </w:pPr>
    </w:p>
    <w:p w14:paraId="3B9F54D1" w14:textId="5AE4EF45" w:rsidR="00F67422" w:rsidRPr="007C33E8" w:rsidRDefault="00F67422" w:rsidP="007C33E8">
      <w:pPr>
        <w:ind w:left="-567" w:right="-563"/>
        <w:jc w:val="both"/>
        <w:rPr>
          <w:rFonts w:ascii="GT Walsheim Pro Regular" w:hAnsi="GT Walsheim Pro Regular"/>
          <w:i/>
          <w:iCs/>
          <w:color w:val="3B3838" w:themeColor="background2" w:themeShade="40"/>
          <w:sz w:val="20"/>
          <w:szCs w:val="20"/>
        </w:rPr>
      </w:pPr>
      <w:bookmarkStart w:id="35" w:name="_Toc50141452"/>
      <w:r w:rsidRPr="007C33E8">
        <w:rPr>
          <w:rStyle w:val="Heading1Char"/>
          <w:rFonts w:ascii="GT Walsheim Pro Regular" w:hAnsi="GT Walsheim Pro Regular" w:cs="Times New Roman"/>
          <w:i/>
          <w:iCs/>
          <w:color w:val="3B3838" w:themeColor="background2" w:themeShade="40"/>
          <w:sz w:val="20"/>
          <w:szCs w:val="20"/>
        </w:rPr>
        <w:t>Office of the Commissioner (OCOM) Memo No. 139-2020</w:t>
      </w:r>
      <w:bookmarkEnd w:id="35"/>
      <w:r w:rsidRPr="007C33E8">
        <w:rPr>
          <w:rStyle w:val="Heading1Char"/>
          <w:rFonts w:ascii="GT Walsheim Pro Regular" w:hAnsi="GT Walsheim Pro Regular" w:cs="Times New Roman"/>
          <w:i/>
          <w:iCs/>
          <w:color w:val="3B3838" w:themeColor="background2" w:themeShade="40"/>
          <w:sz w:val="20"/>
          <w:szCs w:val="20"/>
        </w:rPr>
        <w:t xml:space="preserve"> </w:t>
      </w:r>
    </w:p>
    <w:p w14:paraId="2FD33B89" w14:textId="77777777" w:rsidR="00052AF3" w:rsidRPr="007C33E8" w:rsidRDefault="00052AF3" w:rsidP="007C33E8">
      <w:pPr>
        <w:ind w:left="-567" w:right="-563"/>
        <w:jc w:val="both"/>
        <w:rPr>
          <w:rFonts w:ascii="GT Walsheim Pro Regular" w:hAnsi="GT Walsheim Pro Regular"/>
          <w:color w:val="3B3838" w:themeColor="background2" w:themeShade="40"/>
          <w:sz w:val="20"/>
          <w:szCs w:val="20"/>
        </w:rPr>
      </w:pPr>
    </w:p>
    <w:p w14:paraId="6A859B02" w14:textId="1BB5FDB8" w:rsidR="00F67422" w:rsidRPr="007C33E8" w:rsidRDefault="00F67422" w:rsidP="007C33E8">
      <w:pPr>
        <w:spacing w:line="360" w:lineRule="auto"/>
        <w:ind w:left="-567"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 xml:space="preserve">This reiterates the implementation of CAO No. 8-2007 and CMO No. 28-2007 with respect to the convention to be observed in the proper description of imported goods for declaration, classification, valuation, statistical and other purposes. </w:t>
      </w:r>
    </w:p>
    <w:p w14:paraId="229887B3" w14:textId="77777777" w:rsidR="00F67422" w:rsidRPr="007C33E8" w:rsidRDefault="00F67422" w:rsidP="007C33E8">
      <w:pPr>
        <w:ind w:left="-567" w:right="-563"/>
        <w:jc w:val="both"/>
        <w:rPr>
          <w:rFonts w:ascii="GT Walsheim Pro Regular" w:hAnsi="GT Walsheim Pro Regular"/>
          <w:color w:val="3B3838" w:themeColor="background2" w:themeShade="40"/>
          <w:sz w:val="20"/>
          <w:szCs w:val="20"/>
        </w:rPr>
      </w:pPr>
    </w:p>
    <w:p w14:paraId="509AAE0D" w14:textId="113D39D0" w:rsidR="00F67422" w:rsidRPr="007C33E8" w:rsidRDefault="00F67422" w:rsidP="007C33E8">
      <w:pPr>
        <w:ind w:left="-567" w:right="-563"/>
        <w:jc w:val="both"/>
        <w:rPr>
          <w:rFonts w:ascii="GT Walsheim Pro Regular" w:hAnsi="GT Walsheim Pro Regular"/>
          <w:i/>
          <w:iCs/>
          <w:color w:val="3B3838" w:themeColor="background2" w:themeShade="40"/>
          <w:sz w:val="20"/>
          <w:szCs w:val="20"/>
        </w:rPr>
      </w:pPr>
      <w:bookmarkStart w:id="36" w:name="_Toc50141453"/>
      <w:r w:rsidRPr="007C33E8">
        <w:rPr>
          <w:rStyle w:val="Heading1Char"/>
          <w:rFonts w:ascii="GT Walsheim Pro Regular" w:hAnsi="GT Walsheim Pro Regular" w:cs="Times New Roman"/>
          <w:i/>
          <w:iCs/>
          <w:color w:val="3B3838" w:themeColor="background2" w:themeShade="40"/>
          <w:sz w:val="20"/>
          <w:szCs w:val="20"/>
        </w:rPr>
        <w:t>Assessment and Operations Coordinating Group (AOCG) Memo No. 91-2020</w:t>
      </w:r>
      <w:bookmarkEnd w:id="36"/>
      <w:r w:rsidRPr="007C33E8">
        <w:rPr>
          <w:rFonts w:ascii="GT Walsheim Pro Regular" w:hAnsi="GT Walsheim Pro Regular"/>
          <w:i/>
          <w:iCs/>
          <w:color w:val="3B3838" w:themeColor="background2" w:themeShade="40"/>
          <w:sz w:val="20"/>
          <w:szCs w:val="20"/>
        </w:rPr>
        <w:t xml:space="preserve"> </w:t>
      </w:r>
    </w:p>
    <w:p w14:paraId="34D8D6DB" w14:textId="77777777" w:rsidR="00B0062D" w:rsidRPr="007C33E8" w:rsidRDefault="00B0062D" w:rsidP="007C33E8">
      <w:pPr>
        <w:ind w:left="-567" w:right="-563"/>
        <w:jc w:val="both"/>
        <w:rPr>
          <w:rFonts w:ascii="GT Walsheim Pro Regular" w:hAnsi="GT Walsheim Pro Regular"/>
          <w:color w:val="3B3838" w:themeColor="background2" w:themeShade="40"/>
          <w:sz w:val="20"/>
          <w:szCs w:val="20"/>
        </w:rPr>
      </w:pPr>
    </w:p>
    <w:p w14:paraId="59140243" w14:textId="74DFAA84" w:rsidR="00F67422" w:rsidRPr="007C33E8" w:rsidRDefault="00F67422" w:rsidP="007C33E8">
      <w:pPr>
        <w:spacing w:line="360" w:lineRule="auto"/>
        <w:ind w:left="-567"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 xml:space="preserve">This provides for the extension of the transition period for application of exporters, traders, and stakeholders to the European Union Registered Export (REX) System until December </w:t>
      </w:r>
      <w:r w:rsidR="00DF427C" w:rsidRPr="007C33E8">
        <w:rPr>
          <w:rFonts w:ascii="GT Walsheim Pro Regular" w:hAnsi="GT Walsheim Pro Regular"/>
          <w:color w:val="3B3838" w:themeColor="background2" w:themeShade="40"/>
          <w:sz w:val="20"/>
          <w:szCs w:val="20"/>
        </w:rPr>
        <w:t xml:space="preserve">31, </w:t>
      </w:r>
      <w:r w:rsidRPr="007C33E8">
        <w:rPr>
          <w:rFonts w:ascii="GT Walsheim Pro Regular" w:hAnsi="GT Walsheim Pro Regular"/>
          <w:color w:val="3B3838" w:themeColor="background2" w:themeShade="40"/>
          <w:sz w:val="20"/>
          <w:szCs w:val="20"/>
        </w:rPr>
        <w:t xml:space="preserve">2020. </w:t>
      </w:r>
    </w:p>
    <w:p w14:paraId="566BCA50" w14:textId="77777777" w:rsidR="008F0A37" w:rsidRPr="00871CF0" w:rsidRDefault="008F0A37" w:rsidP="007C33E8">
      <w:pPr>
        <w:ind w:left="-567"/>
        <w:jc w:val="both"/>
      </w:pPr>
    </w:p>
    <w:p w14:paraId="0D289C8A" w14:textId="196AE855" w:rsidR="00FE6095" w:rsidRPr="007C33E8" w:rsidRDefault="00FE6095" w:rsidP="007C33E8">
      <w:pPr>
        <w:ind w:left="-567"/>
        <w:jc w:val="both"/>
        <w:rPr>
          <w:sz w:val="6"/>
          <w:szCs w:val="6"/>
        </w:rPr>
      </w:pPr>
    </w:p>
    <w:p w14:paraId="29FA7F6C" w14:textId="5B430F18" w:rsidR="00FE6095" w:rsidRPr="007C33E8" w:rsidRDefault="00FE6095" w:rsidP="007C33E8">
      <w:pPr>
        <w:pStyle w:val="Heading1"/>
        <w:spacing w:before="0"/>
        <w:ind w:left="-567"/>
        <w:rPr>
          <w:rFonts w:ascii="Arial" w:hAnsi="Arial" w:cs="Arial"/>
          <w:b/>
          <w:bCs/>
          <w:color w:val="C45911" w:themeColor="accent2" w:themeShade="BF"/>
          <w:sz w:val="24"/>
          <w:szCs w:val="24"/>
          <w:lang w:val="en-US"/>
        </w:rPr>
      </w:pPr>
      <w:bookmarkStart w:id="37" w:name="_Toc50141454"/>
      <w:r w:rsidRPr="007C33E8">
        <w:rPr>
          <w:rFonts w:ascii="Arial" w:hAnsi="Arial" w:cs="Arial"/>
          <w:b/>
          <w:bCs/>
          <w:color w:val="C45911" w:themeColor="accent2" w:themeShade="BF"/>
          <w:sz w:val="24"/>
          <w:szCs w:val="24"/>
          <w:lang w:val="en-US"/>
        </w:rPr>
        <w:t>SECURITIES AND EXCHANGE COMMISSION</w:t>
      </w:r>
      <w:bookmarkEnd w:id="37"/>
    </w:p>
    <w:p w14:paraId="7D96C12B" w14:textId="77777777" w:rsidR="001C4760" w:rsidRPr="00871CF0" w:rsidRDefault="001C4760" w:rsidP="007C33E8">
      <w:pPr>
        <w:ind w:left="-567"/>
        <w:jc w:val="both"/>
        <w:rPr>
          <w:b/>
          <w:bCs/>
          <w:color w:val="C45911" w:themeColor="accent2" w:themeShade="BF"/>
          <w:lang w:val="en-US"/>
        </w:rPr>
      </w:pPr>
    </w:p>
    <w:p w14:paraId="43E8A794" w14:textId="4435C1BC" w:rsidR="001C4760" w:rsidRPr="007C33E8" w:rsidRDefault="001C4760" w:rsidP="007C33E8">
      <w:pPr>
        <w:pStyle w:val="Heading1"/>
        <w:spacing w:before="0"/>
        <w:ind w:left="-567" w:right="-563"/>
        <w:jc w:val="both"/>
        <w:rPr>
          <w:rFonts w:ascii="Arial" w:hAnsi="Arial" w:cs="Arial"/>
          <w:color w:val="C45911" w:themeColor="accent2" w:themeShade="BF"/>
          <w:sz w:val="24"/>
          <w:szCs w:val="24"/>
        </w:rPr>
      </w:pPr>
      <w:bookmarkStart w:id="38" w:name="_Toc50141455"/>
      <w:r w:rsidRPr="007C33E8">
        <w:rPr>
          <w:rFonts w:ascii="Arial" w:hAnsi="Arial" w:cs="Arial"/>
          <w:color w:val="C45911" w:themeColor="accent2" w:themeShade="BF"/>
          <w:sz w:val="24"/>
          <w:szCs w:val="24"/>
        </w:rPr>
        <w:t>Options for the Submission of Reports, Applications and Other Documents During the Effectivity of all Community Quarantine Imposed Due to Covid-19</w:t>
      </w:r>
      <w:bookmarkEnd w:id="38"/>
    </w:p>
    <w:p w14:paraId="664F3584" w14:textId="1C577768" w:rsidR="00FE6095" w:rsidRPr="007C33E8" w:rsidRDefault="00FE6095" w:rsidP="007C33E8">
      <w:pPr>
        <w:ind w:left="-567" w:right="-563"/>
        <w:jc w:val="both"/>
        <w:rPr>
          <w:rFonts w:ascii="GT Walsheim Pro Regular" w:hAnsi="GT Walsheim Pro Regular"/>
          <w:b/>
          <w:bCs/>
          <w:color w:val="3B3838" w:themeColor="background2" w:themeShade="40"/>
          <w:sz w:val="20"/>
          <w:szCs w:val="20"/>
          <w:lang w:val="en-US"/>
        </w:rPr>
      </w:pPr>
      <w:r w:rsidRPr="007C33E8">
        <w:rPr>
          <w:rFonts w:ascii="GT Walsheim Pro Regular" w:hAnsi="GT Walsheim Pro Regular"/>
          <w:b/>
          <w:bCs/>
          <w:color w:val="3B3838" w:themeColor="background2" w:themeShade="40"/>
          <w:sz w:val="20"/>
          <w:szCs w:val="20"/>
          <w:lang w:val="en-US"/>
        </w:rPr>
        <w:t>Securities and Exchange Commission Notice</w:t>
      </w:r>
      <w:r w:rsidR="001C4760" w:rsidRPr="007C33E8">
        <w:rPr>
          <w:rFonts w:ascii="GT Walsheim Pro Regular" w:hAnsi="GT Walsheim Pro Regular"/>
          <w:b/>
          <w:bCs/>
          <w:color w:val="3B3838" w:themeColor="background2" w:themeShade="40"/>
          <w:sz w:val="20"/>
          <w:szCs w:val="20"/>
          <w:lang w:val="en-US"/>
        </w:rPr>
        <w:t xml:space="preserve"> </w:t>
      </w:r>
    </w:p>
    <w:p w14:paraId="5FCFED7D" w14:textId="46D6B24C" w:rsidR="001C4760" w:rsidRPr="007C33E8" w:rsidRDefault="001C4760" w:rsidP="007C33E8">
      <w:pPr>
        <w:ind w:left="-567" w:right="-563"/>
        <w:jc w:val="both"/>
        <w:rPr>
          <w:rFonts w:ascii="GT Walsheim Pro Regular" w:hAnsi="GT Walsheim Pro Regular"/>
          <w:b/>
          <w:bCs/>
          <w:color w:val="3B3838" w:themeColor="background2" w:themeShade="40"/>
          <w:sz w:val="20"/>
          <w:szCs w:val="20"/>
        </w:rPr>
      </w:pPr>
      <w:r w:rsidRPr="007C33E8">
        <w:rPr>
          <w:rFonts w:ascii="GT Walsheim Pro Regular" w:hAnsi="GT Walsheim Pro Regular"/>
          <w:b/>
          <w:bCs/>
          <w:color w:val="3B3838" w:themeColor="background2" w:themeShade="40"/>
          <w:sz w:val="20"/>
          <w:szCs w:val="20"/>
          <w:lang w:val="en-US"/>
        </w:rPr>
        <w:t>June 24, 2020</w:t>
      </w:r>
    </w:p>
    <w:p w14:paraId="23A98C44" w14:textId="77777777" w:rsidR="00FE6095" w:rsidRPr="007C33E8" w:rsidRDefault="00FE6095" w:rsidP="007C33E8">
      <w:pPr>
        <w:ind w:right="-563"/>
        <w:jc w:val="both"/>
        <w:rPr>
          <w:rFonts w:ascii="GT Walsheim Pro Regular" w:hAnsi="GT Walsheim Pro Regular"/>
          <w:color w:val="3B3838" w:themeColor="background2" w:themeShade="40"/>
          <w:sz w:val="20"/>
          <w:szCs w:val="20"/>
          <w:lang w:val="en-US"/>
        </w:rPr>
      </w:pPr>
    </w:p>
    <w:p w14:paraId="3A76D78F" w14:textId="77777777" w:rsidR="00FE6095" w:rsidRPr="007C33E8" w:rsidRDefault="00FE6095" w:rsidP="007C33E8">
      <w:pPr>
        <w:spacing w:line="360" w:lineRule="auto"/>
        <w:ind w:left="-567"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 xml:space="preserve">Investment companies, registered issuers of proprietary and non-proprietary shares/ timeshares, public companies, corporate governance institutional training providers and publicly-listed companies under the supervision of the Corporate Governance And </w:t>
      </w:r>
      <w:r w:rsidRPr="007C33E8">
        <w:rPr>
          <w:rFonts w:ascii="GT Walsheim Pro Regular" w:hAnsi="GT Walsheim Pro Regular"/>
          <w:color w:val="3B3838" w:themeColor="background2" w:themeShade="40"/>
          <w:sz w:val="20"/>
          <w:szCs w:val="20"/>
        </w:rPr>
        <w:lastRenderedPageBreak/>
        <w:t xml:space="preserve">Finance Department (CGFD) are advised to file or submit their reports, applications, requests, compliance and other documents to the Commission, through ANY of the following means: </w:t>
      </w:r>
    </w:p>
    <w:p w14:paraId="7C384E08" w14:textId="77777777" w:rsidR="00FE6095" w:rsidRPr="007C33E8" w:rsidRDefault="00FE6095" w:rsidP="007C33E8">
      <w:pPr>
        <w:spacing w:line="360" w:lineRule="auto"/>
        <w:ind w:right="-563"/>
        <w:jc w:val="both"/>
        <w:rPr>
          <w:rFonts w:ascii="GT Walsheim Pro Regular" w:hAnsi="GT Walsheim Pro Regular"/>
          <w:color w:val="3B3838" w:themeColor="background2" w:themeShade="40"/>
          <w:sz w:val="20"/>
          <w:szCs w:val="20"/>
        </w:rPr>
      </w:pPr>
    </w:p>
    <w:p w14:paraId="171674E1" w14:textId="77777777" w:rsidR="00FE6095" w:rsidRPr="007C33E8" w:rsidRDefault="00FE6095" w:rsidP="007C33E8">
      <w:pPr>
        <w:numPr>
          <w:ilvl w:val="0"/>
          <w:numId w:val="17"/>
        </w:numPr>
        <w:spacing w:line="360" w:lineRule="auto"/>
        <w:ind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b/>
          <w:bCs/>
          <w:color w:val="3B3838" w:themeColor="background2" w:themeShade="40"/>
          <w:sz w:val="20"/>
          <w:szCs w:val="20"/>
        </w:rPr>
        <w:t>Via courier services only</w:t>
      </w:r>
      <w:r w:rsidRPr="007C33E8">
        <w:rPr>
          <w:rFonts w:ascii="GT Walsheim Pro Regular" w:hAnsi="GT Walsheim Pro Regular"/>
          <w:color w:val="3B3838" w:themeColor="background2" w:themeShade="40"/>
          <w:sz w:val="20"/>
          <w:szCs w:val="20"/>
        </w:rPr>
        <w:t xml:space="preserve"> – (2) original printed or hard copies of documents with wet signature and proper notarization may be sent through courier or Philippine Postal Corp. using the SEC Express Nationwide Submission (SENS) facility.</w:t>
      </w:r>
    </w:p>
    <w:p w14:paraId="538EABD6" w14:textId="77777777" w:rsidR="00FE6095" w:rsidRPr="007C33E8" w:rsidRDefault="00FE6095" w:rsidP="007C33E8">
      <w:pPr>
        <w:spacing w:line="360" w:lineRule="auto"/>
        <w:ind w:right="-563"/>
        <w:jc w:val="both"/>
        <w:rPr>
          <w:rFonts w:ascii="GT Walsheim Pro Regular" w:hAnsi="GT Walsheim Pro Regular"/>
          <w:color w:val="3B3838" w:themeColor="background2" w:themeShade="40"/>
          <w:sz w:val="20"/>
          <w:szCs w:val="20"/>
        </w:rPr>
      </w:pPr>
    </w:p>
    <w:p w14:paraId="23631140" w14:textId="77777777" w:rsidR="00FE6095" w:rsidRPr="007C33E8" w:rsidRDefault="00FE6095" w:rsidP="007C33E8">
      <w:pPr>
        <w:spacing w:line="360" w:lineRule="auto"/>
        <w:ind w:left="-567"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 xml:space="preserve">The documents are deemed to have been filed on the date they were received by the courier, which must clearly appear in the label or packaging of the courier. </w:t>
      </w:r>
    </w:p>
    <w:p w14:paraId="2A999C4B" w14:textId="77777777" w:rsidR="00FE6095" w:rsidRPr="007C33E8" w:rsidRDefault="00FE6095" w:rsidP="007C33E8">
      <w:pPr>
        <w:spacing w:line="360" w:lineRule="auto"/>
        <w:ind w:right="-563"/>
        <w:jc w:val="both"/>
        <w:rPr>
          <w:rFonts w:ascii="GT Walsheim Pro Regular" w:hAnsi="GT Walsheim Pro Regular"/>
          <w:color w:val="3B3838" w:themeColor="background2" w:themeShade="40"/>
          <w:sz w:val="20"/>
          <w:szCs w:val="20"/>
        </w:rPr>
      </w:pPr>
    </w:p>
    <w:p w14:paraId="620DAD21" w14:textId="1AFDFED0" w:rsidR="00FE6095" w:rsidRPr="007C33E8" w:rsidRDefault="00FE6095" w:rsidP="007C33E8">
      <w:pPr>
        <w:numPr>
          <w:ilvl w:val="0"/>
          <w:numId w:val="17"/>
        </w:numPr>
        <w:spacing w:line="360" w:lineRule="auto"/>
        <w:ind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b/>
          <w:bCs/>
          <w:color w:val="3B3838" w:themeColor="background2" w:themeShade="40"/>
          <w:sz w:val="20"/>
          <w:szCs w:val="20"/>
        </w:rPr>
        <w:t>Via electronic mail only</w:t>
      </w:r>
      <w:r w:rsidRPr="007C33E8">
        <w:rPr>
          <w:rFonts w:ascii="GT Walsheim Pro Regular" w:hAnsi="GT Walsheim Pro Regular"/>
          <w:color w:val="3B3838" w:themeColor="background2" w:themeShade="40"/>
          <w:sz w:val="20"/>
          <w:szCs w:val="20"/>
        </w:rPr>
        <w:t xml:space="preserve"> - scanned copies of the printed or hard copies of documents with wet signature and proper notarization may be sent in Portable Document Format (PDF) to the CGFD and Information Communication Technology Department (ICTD) through email </w:t>
      </w:r>
    </w:p>
    <w:p w14:paraId="1D2531EE" w14:textId="77777777" w:rsidR="001D2A2C" w:rsidRPr="007C33E8" w:rsidRDefault="001D2A2C" w:rsidP="007C33E8">
      <w:pPr>
        <w:spacing w:line="360" w:lineRule="auto"/>
        <w:ind w:left="720" w:right="-563"/>
        <w:jc w:val="both"/>
        <w:rPr>
          <w:rFonts w:ascii="GT Walsheim Pro Regular" w:hAnsi="GT Walsheim Pro Regular"/>
          <w:color w:val="3B3838" w:themeColor="background2" w:themeShade="40"/>
          <w:sz w:val="20"/>
          <w:szCs w:val="20"/>
        </w:rPr>
      </w:pPr>
    </w:p>
    <w:p w14:paraId="41B7BA8F" w14:textId="08D7C812" w:rsidR="00FE6095" w:rsidRPr="007C33E8" w:rsidRDefault="00FE6095" w:rsidP="007C33E8">
      <w:pPr>
        <w:pStyle w:val="ListParagraph"/>
        <w:numPr>
          <w:ilvl w:val="1"/>
          <w:numId w:val="17"/>
        </w:numPr>
        <w:spacing w:after="0" w:line="360" w:lineRule="auto"/>
        <w:ind w:left="1080" w:right="-563"/>
        <w:contextualSpacing w:val="0"/>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 xml:space="preserve">Documents which require payment - </w:t>
      </w:r>
      <w:hyperlink r:id="rId16" w:history="1">
        <w:r w:rsidRPr="007C33E8">
          <w:rPr>
            <w:rStyle w:val="Hyperlink"/>
            <w:rFonts w:ascii="GT Walsheim Pro Regular" w:hAnsi="GT Walsheim Pro Regular"/>
            <w:color w:val="3B3838" w:themeColor="background2" w:themeShade="40"/>
            <w:sz w:val="20"/>
            <w:szCs w:val="20"/>
          </w:rPr>
          <w:t>cgfd@sec.gov.ph</w:t>
        </w:r>
      </w:hyperlink>
    </w:p>
    <w:p w14:paraId="407CC52F" w14:textId="77777777" w:rsidR="00FE6095" w:rsidRPr="007C33E8" w:rsidRDefault="00FE6095" w:rsidP="007C33E8">
      <w:pPr>
        <w:numPr>
          <w:ilvl w:val="1"/>
          <w:numId w:val="17"/>
        </w:numPr>
        <w:spacing w:line="360" w:lineRule="auto"/>
        <w:ind w:left="1080"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 xml:space="preserve">Documents which do not require payment - </w:t>
      </w:r>
      <w:hyperlink r:id="rId17" w:history="1">
        <w:r w:rsidRPr="007C33E8">
          <w:rPr>
            <w:rStyle w:val="Hyperlink"/>
            <w:rFonts w:ascii="GT Walsheim Pro Regular" w:hAnsi="GT Walsheim Pro Regular"/>
            <w:color w:val="3B3838" w:themeColor="background2" w:themeShade="40"/>
            <w:sz w:val="20"/>
            <w:szCs w:val="20"/>
          </w:rPr>
          <w:t>ictdsubmission@sec.gov.ph</w:t>
        </w:r>
      </w:hyperlink>
      <w:r w:rsidRPr="007C33E8">
        <w:rPr>
          <w:rFonts w:ascii="GT Walsheim Pro Regular" w:hAnsi="GT Walsheim Pro Regular"/>
          <w:color w:val="3B3838" w:themeColor="background2" w:themeShade="40"/>
          <w:sz w:val="20"/>
          <w:szCs w:val="20"/>
        </w:rPr>
        <w:t xml:space="preserve">, copy-furnish </w:t>
      </w:r>
      <w:hyperlink r:id="rId18" w:history="1">
        <w:r w:rsidRPr="007C33E8">
          <w:rPr>
            <w:rStyle w:val="Hyperlink"/>
            <w:rFonts w:ascii="GT Walsheim Pro Regular" w:hAnsi="GT Walsheim Pro Regular"/>
            <w:color w:val="3B3838" w:themeColor="background2" w:themeShade="40"/>
            <w:sz w:val="20"/>
            <w:szCs w:val="20"/>
          </w:rPr>
          <w:t>cgfd@sec.gov.ph</w:t>
        </w:r>
      </w:hyperlink>
    </w:p>
    <w:p w14:paraId="0DA56F9F" w14:textId="77777777" w:rsidR="00FE6095" w:rsidRPr="007C33E8" w:rsidRDefault="00FE6095" w:rsidP="007C33E8">
      <w:pPr>
        <w:spacing w:line="360" w:lineRule="auto"/>
        <w:jc w:val="both"/>
        <w:rPr>
          <w:rFonts w:ascii="GT Walsheim Pro Regular" w:hAnsi="GT Walsheim Pro Regular"/>
          <w:color w:val="3B3838" w:themeColor="background2" w:themeShade="40"/>
          <w:sz w:val="20"/>
          <w:szCs w:val="20"/>
        </w:rPr>
      </w:pPr>
    </w:p>
    <w:p w14:paraId="11697804" w14:textId="450AA111" w:rsidR="001D2A2C" w:rsidRPr="007C33E8" w:rsidRDefault="00FE6095" w:rsidP="007C33E8">
      <w:pPr>
        <w:spacing w:line="360" w:lineRule="auto"/>
        <w:ind w:left="-567"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The following requirements for each document must be complied with:</w:t>
      </w:r>
    </w:p>
    <w:p w14:paraId="43D1EF87" w14:textId="77777777" w:rsidR="001D2A2C" w:rsidRPr="007C33E8" w:rsidRDefault="001D2A2C" w:rsidP="007C33E8">
      <w:pPr>
        <w:spacing w:line="360" w:lineRule="auto"/>
        <w:ind w:right="-563"/>
        <w:jc w:val="both"/>
        <w:rPr>
          <w:rFonts w:ascii="GT Walsheim Pro Regular" w:hAnsi="GT Walsheim Pro Regular"/>
          <w:color w:val="3B3838" w:themeColor="background2" w:themeShade="40"/>
          <w:sz w:val="20"/>
          <w:szCs w:val="20"/>
        </w:rPr>
      </w:pPr>
    </w:p>
    <w:p w14:paraId="114724CA" w14:textId="4A84CE34" w:rsidR="00FE6095" w:rsidRPr="007C33E8" w:rsidRDefault="00FE6095" w:rsidP="007C33E8">
      <w:pPr>
        <w:pStyle w:val="ListParagraph"/>
        <w:numPr>
          <w:ilvl w:val="0"/>
          <w:numId w:val="21"/>
        </w:numPr>
        <w:spacing w:after="0" w:line="360" w:lineRule="auto"/>
        <w:ind w:right="-563"/>
        <w:contextualSpacing w:val="0"/>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For documents that require notarization:</w:t>
      </w:r>
    </w:p>
    <w:p w14:paraId="715B0823" w14:textId="52B31C6D" w:rsidR="00FE6095" w:rsidRPr="007C33E8" w:rsidRDefault="00FE6095" w:rsidP="007C33E8">
      <w:pPr>
        <w:pStyle w:val="ListParagraph"/>
        <w:numPr>
          <w:ilvl w:val="2"/>
          <w:numId w:val="21"/>
        </w:numPr>
        <w:spacing w:after="0" w:line="360" w:lineRule="auto"/>
        <w:ind w:left="1080" w:right="-563"/>
        <w:contextualSpacing w:val="0"/>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 xml:space="preserve">A scanned copy of the document duly notarized and containing the necessary physical/ wet signatures without the need of a notarized certification; and </w:t>
      </w:r>
    </w:p>
    <w:p w14:paraId="4C540DBE" w14:textId="1188C198" w:rsidR="00FE6095" w:rsidRPr="007C33E8" w:rsidRDefault="00FE6095" w:rsidP="007C33E8">
      <w:pPr>
        <w:numPr>
          <w:ilvl w:val="2"/>
          <w:numId w:val="21"/>
        </w:numPr>
        <w:spacing w:line="360" w:lineRule="auto"/>
        <w:ind w:left="1080"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Filing fee, if applicable</w:t>
      </w:r>
    </w:p>
    <w:p w14:paraId="4677AB7A" w14:textId="77777777" w:rsidR="001D2A2C" w:rsidRPr="007C33E8" w:rsidRDefault="001D2A2C" w:rsidP="007C33E8">
      <w:pPr>
        <w:spacing w:line="360" w:lineRule="auto"/>
        <w:ind w:left="2160" w:right="-563"/>
        <w:jc w:val="both"/>
        <w:rPr>
          <w:rFonts w:ascii="GT Walsheim Pro Regular" w:hAnsi="GT Walsheim Pro Regular"/>
          <w:color w:val="3B3838" w:themeColor="background2" w:themeShade="40"/>
          <w:sz w:val="20"/>
          <w:szCs w:val="20"/>
        </w:rPr>
      </w:pPr>
    </w:p>
    <w:p w14:paraId="4FA00292" w14:textId="5674A0FD" w:rsidR="00FE6095" w:rsidRPr="007C33E8" w:rsidRDefault="00FE6095" w:rsidP="007C33E8">
      <w:pPr>
        <w:pStyle w:val="ListParagraph"/>
        <w:numPr>
          <w:ilvl w:val="0"/>
          <w:numId w:val="21"/>
        </w:numPr>
        <w:spacing w:after="0" w:line="360" w:lineRule="auto"/>
        <w:ind w:right="-563"/>
        <w:contextualSpacing w:val="0"/>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 xml:space="preserve">For Documents Not Requiring Notarization </w:t>
      </w:r>
    </w:p>
    <w:p w14:paraId="488F7EFE" w14:textId="77777777" w:rsidR="00FE6095" w:rsidRPr="007C33E8" w:rsidRDefault="00FE6095" w:rsidP="007C33E8">
      <w:pPr>
        <w:numPr>
          <w:ilvl w:val="2"/>
          <w:numId w:val="21"/>
        </w:numPr>
        <w:spacing w:line="360" w:lineRule="auto"/>
        <w:ind w:left="1080"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 xml:space="preserve">A scanned copy of the document containing the necessary physical/ wet signatures; </w:t>
      </w:r>
    </w:p>
    <w:p w14:paraId="4407BBF4" w14:textId="77777777" w:rsidR="00FE6095" w:rsidRPr="007C33E8" w:rsidRDefault="00FE6095" w:rsidP="007C33E8">
      <w:pPr>
        <w:numPr>
          <w:ilvl w:val="2"/>
          <w:numId w:val="21"/>
        </w:numPr>
        <w:spacing w:line="360" w:lineRule="auto"/>
        <w:ind w:left="1080"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 xml:space="preserve">Notarized certification; and </w:t>
      </w:r>
    </w:p>
    <w:p w14:paraId="77C245C5" w14:textId="77777777" w:rsidR="00FE6095" w:rsidRPr="007C33E8" w:rsidRDefault="00FE6095" w:rsidP="007C33E8">
      <w:pPr>
        <w:numPr>
          <w:ilvl w:val="2"/>
          <w:numId w:val="21"/>
        </w:numPr>
        <w:spacing w:line="360" w:lineRule="auto"/>
        <w:ind w:left="1080"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 xml:space="preserve">Filing fee, if applicable. </w:t>
      </w:r>
    </w:p>
    <w:p w14:paraId="72FB975E" w14:textId="77777777" w:rsidR="00FE6095" w:rsidRPr="007C33E8" w:rsidRDefault="00FE6095" w:rsidP="007C33E8">
      <w:pPr>
        <w:spacing w:line="360" w:lineRule="auto"/>
        <w:ind w:left="-567" w:right="-563"/>
        <w:jc w:val="both"/>
        <w:rPr>
          <w:rFonts w:ascii="GT Walsheim Pro Regular" w:hAnsi="GT Walsheim Pro Regular"/>
          <w:color w:val="3B3838" w:themeColor="background2" w:themeShade="40"/>
          <w:sz w:val="20"/>
          <w:szCs w:val="20"/>
        </w:rPr>
      </w:pPr>
    </w:p>
    <w:p w14:paraId="38EAD448" w14:textId="77777777" w:rsidR="00FE6095" w:rsidRPr="007C33E8" w:rsidRDefault="00FE6095" w:rsidP="007C33E8">
      <w:pPr>
        <w:spacing w:line="360" w:lineRule="auto"/>
        <w:ind w:left="-567"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The format of the subject head shall be: COMPLETE NAME OF THE COMPANY_TYPE OF DOCUMENT_DATE. The date shall refer to the date of filing.</w:t>
      </w:r>
    </w:p>
    <w:p w14:paraId="23DE8D9F" w14:textId="77777777" w:rsidR="00FE6095" w:rsidRPr="007C33E8" w:rsidRDefault="00FE6095" w:rsidP="007C33E8">
      <w:pPr>
        <w:spacing w:line="360" w:lineRule="auto"/>
        <w:ind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 xml:space="preserve"> </w:t>
      </w:r>
    </w:p>
    <w:p w14:paraId="2BEBE0D5" w14:textId="77777777" w:rsidR="00FE6095" w:rsidRPr="007C33E8" w:rsidRDefault="00FE6095" w:rsidP="007C33E8">
      <w:pPr>
        <w:spacing w:line="360" w:lineRule="auto"/>
        <w:ind w:left="-567"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The notarized certification refers to the sworn certification of the person who prepared the report or document on behalf of the covered company that the information contained therein is true and correct.</w:t>
      </w:r>
    </w:p>
    <w:p w14:paraId="131D1D94" w14:textId="77777777" w:rsidR="00FE6095" w:rsidRPr="007C33E8" w:rsidRDefault="00FE6095" w:rsidP="007C33E8">
      <w:pPr>
        <w:spacing w:line="360" w:lineRule="auto"/>
        <w:ind w:left="-567"/>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 xml:space="preserve"> </w:t>
      </w:r>
    </w:p>
    <w:p w14:paraId="5F047435" w14:textId="77777777" w:rsidR="00FE6095" w:rsidRPr="007C33E8" w:rsidRDefault="00FE6095" w:rsidP="007C33E8">
      <w:pPr>
        <w:spacing w:line="360" w:lineRule="auto"/>
        <w:ind w:left="-567"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lastRenderedPageBreak/>
        <w:t xml:space="preserve">For purposes of the filing fee, electronic copies of the Payment Assessment Form (PAF) may be requested by sending a request therefor via email to </w:t>
      </w:r>
      <w:r w:rsidRPr="007C33E8">
        <w:rPr>
          <w:rFonts w:ascii="GT Walsheim Pro Regular" w:hAnsi="GT Walsheim Pro Regular"/>
          <w:b/>
          <w:bCs/>
          <w:color w:val="3B3838" w:themeColor="background2" w:themeShade="40"/>
          <w:sz w:val="20"/>
          <w:szCs w:val="20"/>
          <w:u w:val="single"/>
        </w:rPr>
        <w:t>cgfd@sec.gov.ph</w:t>
      </w:r>
      <w:r w:rsidRPr="007C33E8">
        <w:rPr>
          <w:rFonts w:ascii="GT Walsheim Pro Regular" w:hAnsi="GT Walsheim Pro Regular"/>
          <w:color w:val="3B3838" w:themeColor="background2" w:themeShade="40"/>
          <w:sz w:val="20"/>
          <w:szCs w:val="20"/>
        </w:rPr>
        <w:t xml:space="preserve">. </w:t>
      </w:r>
    </w:p>
    <w:p w14:paraId="48EAECFF" w14:textId="77777777" w:rsidR="00FE6095" w:rsidRPr="007C33E8" w:rsidRDefault="00FE6095" w:rsidP="007C33E8">
      <w:pPr>
        <w:spacing w:line="360" w:lineRule="auto"/>
        <w:ind w:left="-567" w:right="-563"/>
        <w:jc w:val="both"/>
        <w:rPr>
          <w:rFonts w:ascii="GT Walsheim Pro Regular" w:hAnsi="GT Walsheim Pro Regular"/>
          <w:color w:val="3B3838" w:themeColor="background2" w:themeShade="40"/>
          <w:sz w:val="20"/>
          <w:szCs w:val="20"/>
        </w:rPr>
      </w:pPr>
    </w:p>
    <w:p w14:paraId="7792C102" w14:textId="77777777" w:rsidR="00FE6095" w:rsidRPr="007C33E8" w:rsidRDefault="00FE6095" w:rsidP="007C33E8">
      <w:pPr>
        <w:spacing w:line="360" w:lineRule="auto"/>
        <w:ind w:left="-567"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 xml:space="preserve">Except for documents that need pre-evaluation and are subject to processing fees, the scanned notarized documents shall be deemed to have been filed on the date the email was sent to the CGFD account only or to the ICTD account with copy furnished to CGFD account, as the case may be, during working days. Documents filed on a holiday or beyond 5:00PM on a working day shall be considered filed on the next business day. </w:t>
      </w:r>
    </w:p>
    <w:p w14:paraId="540369C7" w14:textId="77777777" w:rsidR="00FE6095" w:rsidRPr="007C33E8" w:rsidRDefault="00FE6095" w:rsidP="007C33E8">
      <w:pPr>
        <w:spacing w:line="360" w:lineRule="auto"/>
        <w:ind w:right="-563"/>
        <w:jc w:val="both"/>
        <w:rPr>
          <w:rFonts w:ascii="GT Walsheim Pro Regular" w:hAnsi="GT Walsheim Pro Regular"/>
          <w:color w:val="3B3838" w:themeColor="background2" w:themeShade="40"/>
          <w:sz w:val="20"/>
          <w:szCs w:val="20"/>
        </w:rPr>
      </w:pPr>
    </w:p>
    <w:p w14:paraId="21FDE178" w14:textId="77777777" w:rsidR="00FE6095" w:rsidRPr="00871CF0" w:rsidRDefault="00FE6095" w:rsidP="007C33E8">
      <w:pPr>
        <w:numPr>
          <w:ilvl w:val="0"/>
          <w:numId w:val="21"/>
        </w:numPr>
        <w:spacing w:line="360" w:lineRule="auto"/>
        <w:ind w:right="-563"/>
        <w:jc w:val="both"/>
      </w:pPr>
      <w:r w:rsidRPr="007C33E8">
        <w:rPr>
          <w:rFonts w:ascii="GT Walsheim Pro Regular" w:hAnsi="GT Walsheim Pro Regular"/>
          <w:b/>
          <w:bCs/>
          <w:color w:val="3B3838" w:themeColor="background2" w:themeShade="40"/>
          <w:sz w:val="20"/>
          <w:szCs w:val="20"/>
        </w:rPr>
        <w:t>Via courier services AND electronic mail</w:t>
      </w:r>
      <w:r w:rsidRPr="007C33E8">
        <w:rPr>
          <w:rFonts w:ascii="GT Walsheim Pro Regular" w:hAnsi="GT Walsheim Pro Regular"/>
          <w:color w:val="3B3838" w:themeColor="background2" w:themeShade="40"/>
          <w:sz w:val="20"/>
          <w:szCs w:val="20"/>
        </w:rPr>
        <w:t xml:space="preserve"> – combination of options 1 and 2. The documents shall be deemed to have been filed on the date they were received by the courier. The scanned copy emailed to the CGFD shall serve as notification only for the submission of the document. The document filed through courier or mail shall be considered as the official submission.</w:t>
      </w:r>
      <w:r w:rsidRPr="00871CF0">
        <w:t xml:space="preserve"> </w:t>
      </w:r>
    </w:p>
    <w:p w14:paraId="23BF7AD5" w14:textId="77777777" w:rsidR="00FE6095" w:rsidRPr="00871CF0" w:rsidRDefault="00FE6095" w:rsidP="001D2A2C">
      <w:pPr>
        <w:jc w:val="both"/>
      </w:pPr>
    </w:p>
    <w:p w14:paraId="76979529" w14:textId="5D562E39" w:rsidR="001C4760" w:rsidRPr="007C33E8" w:rsidRDefault="001C4760" w:rsidP="007C33E8">
      <w:pPr>
        <w:pStyle w:val="Heading1"/>
        <w:spacing w:before="0"/>
        <w:ind w:left="-567" w:right="-563"/>
        <w:jc w:val="both"/>
        <w:rPr>
          <w:rFonts w:ascii="Arial" w:hAnsi="Arial" w:cs="Arial"/>
          <w:color w:val="C45911" w:themeColor="accent2" w:themeShade="BF"/>
          <w:sz w:val="24"/>
          <w:szCs w:val="24"/>
          <w:lang w:val="en-US"/>
        </w:rPr>
      </w:pPr>
      <w:bookmarkStart w:id="39" w:name="_Toc50141456"/>
      <w:r w:rsidRPr="007C33E8">
        <w:rPr>
          <w:rFonts w:ascii="Arial" w:hAnsi="Arial" w:cs="Arial"/>
          <w:color w:val="C45911" w:themeColor="accent2" w:themeShade="BF"/>
          <w:sz w:val="24"/>
          <w:szCs w:val="24"/>
        </w:rPr>
        <w:t>Reglementary periods in the filing of petitions, appeals, motions, and other pleadings</w:t>
      </w:r>
      <w:bookmarkEnd w:id="39"/>
    </w:p>
    <w:p w14:paraId="09E81FE6" w14:textId="77D30C9B" w:rsidR="00FE6095" w:rsidRPr="007C33E8" w:rsidRDefault="00FE6095" w:rsidP="007C33E8">
      <w:pPr>
        <w:ind w:left="-567" w:right="-563"/>
        <w:jc w:val="both"/>
        <w:rPr>
          <w:rFonts w:ascii="GT Walsheim Pro Regular" w:hAnsi="GT Walsheim Pro Regular"/>
          <w:b/>
          <w:bCs/>
          <w:color w:val="3B3838" w:themeColor="background2" w:themeShade="40"/>
          <w:sz w:val="20"/>
          <w:szCs w:val="20"/>
          <w:lang w:val="en-US"/>
        </w:rPr>
      </w:pPr>
      <w:r w:rsidRPr="007C33E8">
        <w:rPr>
          <w:rFonts w:ascii="GT Walsheim Pro Regular" w:hAnsi="GT Walsheim Pro Regular"/>
          <w:b/>
          <w:bCs/>
          <w:color w:val="3B3838" w:themeColor="background2" w:themeShade="40"/>
          <w:sz w:val="20"/>
          <w:szCs w:val="20"/>
          <w:lang w:val="en-US"/>
        </w:rPr>
        <w:t>SEC Office of the General Counsel (OGC) Advisory</w:t>
      </w:r>
    </w:p>
    <w:p w14:paraId="291C8316" w14:textId="2B715409" w:rsidR="00FE6095" w:rsidRPr="007C33E8" w:rsidRDefault="001C4760" w:rsidP="007C33E8">
      <w:pPr>
        <w:ind w:left="-567" w:right="-563"/>
        <w:jc w:val="both"/>
        <w:rPr>
          <w:rFonts w:ascii="GT Walsheim Pro Regular" w:hAnsi="GT Walsheim Pro Regular"/>
          <w:b/>
          <w:bCs/>
          <w:color w:val="3B3838" w:themeColor="background2" w:themeShade="40"/>
          <w:sz w:val="20"/>
          <w:szCs w:val="20"/>
          <w:lang w:val="en-US"/>
        </w:rPr>
      </w:pPr>
      <w:r w:rsidRPr="007C33E8">
        <w:rPr>
          <w:rFonts w:ascii="GT Walsheim Pro Regular" w:hAnsi="GT Walsheim Pro Regular"/>
          <w:b/>
          <w:bCs/>
          <w:color w:val="3B3838" w:themeColor="background2" w:themeShade="40"/>
          <w:sz w:val="20"/>
          <w:szCs w:val="20"/>
          <w:lang w:val="en-US"/>
        </w:rPr>
        <w:t xml:space="preserve">July 3, </w:t>
      </w:r>
      <w:r w:rsidR="00FE6095" w:rsidRPr="007C33E8">
        <w:rPr>
          <w:rFonts w:ascii="GT Walsheim Pro Regular" w:hAnsi="GT Walsheim Pro Regular"/>
          <w:b/>
          <w:bCs/>
          <w:color w:val="3B3838" w:themeColor="background2" w:themeShade="40"/>
          <w:sz w:val="20"/>
          <w:szCs w:val="20"/>
          <w:lang w:val="en-US"/>
        </w:rPr>
        <w:t>2020</w:t>
      </w:r>
    </w:p>
    <w:p w14:paraId="45DDB63D" w14:textId="77777777" w:rsidR="00FE6095" w:rsidRPr="007C33E8" w:rsidRDefault="00FE6095" w:rsidP="007C33E8">
      <w:pPr>
        <w:ind w:left="-567" w:right="-563"/>
        <w:jc w:val="both"/>
        <w:rPr>
          <w:rFonts w:ascii="GT Walsheim Pro Regular" w:hAnsi="GT Walsheim Pro Regular"/>
          <w:b/>
          <w:bCs/>
          <w:color w:val="3B3838" w:themeColor="background2" w:themeShade="40"/>
          <w:sz w:val="20"/>
          <w:szCs w:val="20"/>
          <w:lang w:val="en-US"/>
        </w:rPr>
      </w:pPr>
    </w:p>
    <w:p w14:paraId="65A5146E" w14:textId="16AF3ECA" w:rsidR="00FE6095" w:rsidRPr="007C33E8" w:rsidRDefault="00FE6095" w:rsidP="007C33E8">
      <w:pPr>
        <w:spacing w:line="360" w:lineRule="auto"/>
        <w:ind w:left="-567" w:right="-563"/>
        <w:jc w:val="both"/>
        <w:rPr>
          <w:rFonts w:ascii="GT Walsheim Pro Regular" w:hAnsi="GT Walsheim Pro Regular"/>
          <w:color w:val="3B3838" w:themeColor="background2" w:themeShade="40"/>
          <w:sz w:val="20"/>
          <w:szCs w:val="20"/>
        </w:rPr>
      </w:pPr>
      <w:r w:rsidRPr="007C33E8">
        <w:rPr>
          <w:rFonts w:ascii="GT Walsheim Pro Regular" w:hAnsi="GT Walsheim Pro Regular"/>
          <w:color w:val="3B3838" w:themeColor="background2" w:themeShade="40"/>
          <w:sz w:val="20"/>
          <w:szCs w:val="20"/>
        </w:rPr>
        <w:t xml:space="preserve">OGC informed the public that effective July 6, 2020, the reglementary periods in the filing of  petitions, appeals, motions, and other pleadings under the 2016 Rules of Procedure of the SEC shall start to run. The conduct of hearings and preliminary conferences in cases pending with the OGC or the Commission </w:t>
      </w:r>
      <w:r w:rsidRPr="007C33E8">
        <w:rPr>
          <w:rFonts w:ascii="GT Walsheim Pro Regular" w:hAnsi="GT Walsheim Pro Regular"/>
          <w:i/>
          <w:iCs/>
          <w:color w:val="3B3838" w:themeColor="background2" w:themeShade="40"/>
          <w:sz w:val="20"/>
          <w:szCs w:val="20"/>
        </w:rPr>
        <w:t>En Banc</w:t>
      </w:r>
      <w:r w:rsidRPr="007C33E8">
        <w:rPr>
          <w:rFonts w:ascii="GT Walsheim Pro Regular" w:hAnsi="GT Walsheim Pro Regular"/>
          <w:color w:val="3B3838" w:themeColor="background2" w:themeShade="40"/>
          <w:sz w:val="20"/>
          <w:szCs w:val="20"/>
        </w:rPr>
        <w:t xml:space="preserve"> are suspended, and the OGC may, in its discretion, order the parties to file their respective position papers.</w:t>
      </w:r>
    </w:p>
    <w:p w14:paraId="6A56F60B" w14:textId="77777777" w:rsidR="00F67422" w:rsidRPr="007C33E8" w:rsidRDefault="00F67422" w:rsidP="00871CF0">
      <w:pPr>
        <w:jc w:val="both"/>
        <w:rPr>
          <w:rFonts w:ascii="GT Walsheim Pro Regular" w:hAnsi="GT Walsheim Pro Regular"/>
          <w:color w:val="3B3838" w:themeColor="background2" w:themeShade="40"/>
          <w:sz w:val="20"/>
          <w:szCs w:val="20"/>
        </w:rPr>
      </w:pPr>
    </w:p>
    <w:p w14:paraId="6FF452DE" w14:textId="77777777" w:rsidR="00CE7226" w:rsidRPr="007C33E8" w:rsidRDefault="00CE7226" w:rsidP="00CE7226">
      <w:pPr>
        <w:rPr>
          <w:rFonts w:ascii="GT Walsheim Pro Regular" w:hAnsi="GT Walsheim Pro Regular"/>
          <w:color w:val="3B3838" w:themeColor="background2" w:themeShade="40"/>
          <w:sz w:val="20"/>
          <w:szCs w:val="20"/>
        </w:rPr>
      </w:pPr>
    </w:p>
    <w:sectPr w:rsidR="00CE7226" w:rsidRPr="007C33E8" w:rsidSect="00D70B18">
      <w:footerReference w:type="even" r:id="rId19"/>
      <w:footerReference w:type="default" r:id="rId20"/>
      <w:pgSz w:w="12240" w:h="15840"/>
      <w:pgMar w:top="1134"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B7C2CC" w14:textId="77777777" w:rsidR="00DC50D4" w:rsidRDefault="00DC50D4" w:rsidP="00FA7D64">
      <w:r>
        <w:separator/>
      </w:r>
    </w:p>
  </w:endnote>
  <w:endnote w:type="continuationSeparator" w:id="0">
    <w:p w14:paraId="008F042D" w14:textId="77777777" w:rsidR="00DC50D4" w:rsidRDefault="00DC50D4" w:rsidP="00FA7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T Walsheim Pro Regular">
    <w:altName w:val="Calibri"/>
    <w:charset w:val="00"/>
    <w:family w:val="auto"/>
    <w:pitch w:val="variable"/>
    <w:sig w:usb0="A00002AF" w:usb1="5000206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22694500"/>
      <w:docPartObj>
        <w:docPartGallery w:val="Page Numbers (Bottom of Page)"/>
        <w:docPartUnique/>
      </w:docPartObj>
    </w:sdtPr>
    <w:sdtEndPr>
      <w:rPr>
        <w:rStyle w:val="PageNumber"/>
      </w:rPr>
    </w:sdtEndPr>
    <w:sdtContent>
      <w:p w14:paraId="534AB674" w14:textId="4A27A1A8" w:rsidR="003944BB" w:rsidRDefault="003944BB" w:rsidP="00577D4F">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4940E0" w14:textId="77777777" w:rsidR="003944BB" w:rsidRDefault="003944BB" w:rsidP="00FA7D6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Georgia" w:hAnsi="Georgia"/>
        <w:sz w:val="20"/>
        <w:szCs w:val="20"/>
      </w:rPr>
      <w:id w:val="1542166592"/>
      <w:docPartObj>
        <w:docPartGallery w:val="Page Numbers (Bottom of Page)"/>
        <w:docPartUnique/>
      </w:docPartObj>
    </w:sdtPr>
    <w:sdtEndPr>
      <w:rPr>
        <w:color w:val="7F7F7F" w:themeColor="background1" w:themeShade="7F"/>
        <w:spacing w:val="60"/>
      </w:rPr>
    </w:sdtEndPr>
    <w:sdtContent>
      <w:p w14:paraId="306CEC06" w14:textId="7A8A7D4D" w:rsidR="003944BB" w:rsidRPr="007C33E8" w:rsidRDefault="003944BB">
        <w:pPr>
          <w:pStyle w:val="Footer"/>
          <w:pBdr>
            <w:top w:val="single" w:sz="4" w:space="1" w:color="D9D9D9" w:themeColor="background1" w:themeShade="D9"/>
          </w:pBdr>
          <w:rPr>
            <w:rFonts w:ascii="Georgia" w:hAnsi="Georgia"/>
            <w:b/>
            <w:bCs/>
            <w:sz w:val="20"/>
            <w:szCs w:val="20"/>
          </w:rPr>
        </w:pPr>
        <w:r w:rsidRPr="007C33E8">
          <w:rPr>
            <w:rFonts w:ascii="Georgia" w:hAnsi="Georgia"/>
            <w:sz w:val="20"/>
            <w:szCs w:val="20"/>
          </w:rPr>
          <w:fldChar w:fldCharType="begin"/>
        </w:r>
        <w:r w:rsidRPr="007C33E8">
          <w:rPr>
            <w:rFonts w:ascii="Georgia" w:hAnsi="Georgia"/>
            <w:sz w:val="20"/>
            <w:szCs w:val="20"/>
          </w:rPr>
          <w:instrText xml:space="preserve"> PAGE   \* MERGEFORMAT </w:instrText>
        </w:r>
        <w:r w:rsidRPr="007C33E8">
          <w:rPr>
            <w:rFonts w:ascii="Georgia" w:hAnsi="Georgia"/>
            <w:sz w:val="20"/>
            <w:szCs w:val="20"/>
          </w:rPr>
          <w:fldChar w:fldCharType="separate"/>
        </w:r>
        <w:r w:rsidRPr="007C33E8">
          <w:rPr>
            <w:rFonts w:ascii="Georgia" w:hAnsi="Georgia"/>
            <w:b/>
            <w:bCs/>
            <w:noProof/>
            <w:sz w:val="20"/>
            <w:szCs w:val="20"/>
          </w:rPr>
          <w:t>2</w:t>
        </w:r>
        <w:r w:rsidRPr="007C33E8">
          <w:rPr>
            <w:rFonts w:ascii="Georgia" w:hAnsi="Georgia"/>
            <w:b/>
            <w:bCs/>
            <w:noProof/>
            <w:sz w:val="20"/>
            <w:szCs w:val="20"/>
          </w:rPr>
          <w:fldChar w:fldCharType="end"/>
        </w:r>
        <w:r w:rsidRPr="007C33E8">
          <w:rPr>
            <w:rFonts w:ascii="Georgia" w:hAnsi="Georgia"/>
            <w:b/>
            <w:bCs/>
            <w:sz w:val="20"/>
            <w:szCs w:val="20"/>
          </w:rPr>
          <w:t xml:space="preserve"> | </w:t>
        </w:r>
        <w:r w:rsidRPr="007C33E8">
          <w:rPr>
            <w:rFonts w:ascii="Georgia" w:hAnsi="Georgia"/>
            <w:color w:val="7F7F7F" w:themeColor="background1" w:themeShade="7F"/>
            <w:spacing w:val="60"/>
            <w:sz w:val="20"/>
            <w:szCs w:val="20"/>
          </w:rPr>
          <w:t>Page</w:t>
        </w:r>
      </w:p>
    </w:sdtContent>
  </w:sdt>
  <w:p w14:paraId="624817BA" w14:textId="4B810A17" w:rsidR="003944BB" w:rsidRDefault="003944BB" w:rsidP="007C33E8">
    <w:pPr>
      <w:pStyle w:val="Footer"/>
      <w:ind w:firstLine="360"/>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A76F87" w14:textId="77777777" w:rsidR="00DC50D4" w:rsidRDefault="00DC50D4" w:rsidP="00FA7D64">
      <w:r>
        <w:separator/>
      </w:r>
    </w:p>
  </w:footnote>
  <w:footnote w:type="continuationSeparator" w:id="0">
    <w:p w14:paraId="6D21CDFC" w14:textId="77777777" w:rsidR="00DC50D4" w:rsidRDefault="00DC50D4" w:rsidP="00FA7D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355AE"/>
    <w:multiLevelType w:val="hybridMultilevel"/>
    <w:tmpl w:val="6258651A"/>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A5E8A"/>
    <w:multiLevelType w:val="hybridMultilevel"/>
    <w:tmpl w:val="94A0462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AA5449"/>
    <w:multiLevelType w:val="hybridMultilevel"/>
    <w:tmpl w:val="67D013D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363DF7"/>
    <w:multiLevelType w:val="hybridMultilevel"/>
    <w:tmpl w:val="681690AA"/>
    <w:lvl w:ilvl="0" w:tplc="1B2E0F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BF26BA"/>
    <w:multiLevelType w:val="hybridMultilevel"/>
    <w:tmpl w:val="B2445DAE"/>
    <w:lvl w:ilvl="0" w:tplc="0409000F">
      <w:start w:val="1"/>
      <w:numFmt w:val="decimal"/>
      <w:lvlText w:val="%1."/>
      <w:lvlJc w:val="left"/>
      <w:pPr>
        <w:ind w:left="720" w:hanging="360"/>
      </w:pPr>
    </w:lvl>
    <w:lvl w:ilvl="1" w:tplc="6658C4E4">
      <w:start w:val="1"/>
      <w:numFmt w:val="lowerLetter"/>
      <w:lvlText w:val="%2)"/>
      <w:lvlJc w:val="left"/>
      <w:pPr>
        <w:ind w:left="1440" w:hanging="360"/>
      </w:pPr>
      <w:rPr>
        <w:rFonts w:ascii="Book Antiqua" w:eastAsiaTheme="minorHAnsi" w:hAnsi="Book Antiqua"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D94E7F"/>
    <w:multiLevelType w:val="hybridMultilevel"/>
    <w:tmpl w:val="57DCE416"/>
    <w:lvl w:ilvl="0" w:tplc="F78696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B519A8"/>
    <w:multiLevelType w:val="hybridMultilevel"/>
    <w:tmpl w:val="77EC26CE"/>
    <w:lvl w:ilvl="0" w:tplc="01F093EE">
      <w:start w:val="1"/>
      <w:numFmt w:val="decimal"/>
      <w:lvlText w:val="%1."/>
      <w:lvlJc w:val="left"/>
      <w:pPr>
        <w:ind w:left="720" w:hanging="360"/>
      </w:pPr>
      <w:rPr>
        <w:rFonts w:hint="default"/>
        <w:b/>
        <w:i/>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3D36719D"/>
    <w:multiLevelType w:val="hybridMultilevel"/>
    <w:tmpl w:val="A684AC30"/>
    <w:lvl w:ilvl="0" w:tplc="42C28D40">
      <w:start w:val="1"/>
      <w:numFmt w:val="decimal"/>
      <w:lvlText w:val="%1."/>
      <w:lvlJc w:val="left"/>
      <w:pPr>
        <w:ind w:left="720" w:hanging="360"/>
      </w:pPr>
      <w:rPr>
        <w:rFonts w:ascii="Arial" w:hAnsi="Arial" w:cs="Arial" w:hint="default"/>
        <w:sz w:val="22"/>
        <w:szCs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5F316D"/>
    <w:multiLevelType w:val="multilevel"/>
    <w:tmpl w:val="DE46C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FE434D"/>
    <w:multiLevelType w:val="hybridMultilevel"/>
    <w:tmpl w:val="42D4183E"/>
    <w:lvl w:ilvl="0" w:tplc="FFC6D620">
      <w:start w:val="3"/>
      <w:numFmt w:val="upperRoman"/>
      <w:lvlText w:val="%1."/>
      <w:lvlJc w:val="left"/>
      <w:pPr>
        <w:ind w:left="1080" w:hanging="720"/>
      </w:pPr>
      <w:rPr>
        <w:rFonts w:hint="default"/>
        <w:color w:val="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382FCB"/>
    <w:multiLevelType w:val="hybridMultilevel"/>
    <w:tmpl w:val="054C9850"/>
    <w:lvl w:ilvl="0" w:tplc="A6B04B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325819"/>
    <w:multiLevelType w:val="hybridMultilevel"/>
    <w:tmpl w:val="AB2A1DA2"/>
    <w:lvl w:ilvl="0" w:tplc="2C1A67B2">
      <w:start w:val="1"/>
      <w:numFmt w:val="decimal"/>
      <w:lvlText w:val="%1."/>
      <w:lvlJc w:val="left"/>
      <w:pPr>
        <w:ind w:left="720" w:hanging="360"/>
      </w:pPr>
      <w:rPr>
        <w:sz w:val="20"/>
        <w:szCs w:val="20"/>
      </w:rPr>
    </w:lvl>
    <w:lvl w:ilvl="1" w:tplc="6658C4E4">
      <w:start w:val="1"/>
      <w:numFmt w:val="lowerLetter"/>
      <w:lvlText w:val="%2)"/>
      <w:lvlJc w:val="left"/>
      <w:pPr>
        <w:ind w:left="1440" w:hanging="360"/>
      </w:pPr>
      <w:rPr>
        <w:rFonts w:ascii="Book Antiqua" w:eastAsiaTheme="minorHAnsi" w:hAnsi="Book Antiqua" w:cs="Times New Roman"/>
      </w:rPr>
    </w:lvl>
    <w:lvl w:ilvl="2" w:tplc="D638C1FE">
      <w:start w:val="1"/>
      <w:numFmt w:val="lowerLetter"/>
      <w:lvlText w:val="%3)"/>
      <w:lvlJc w:val="right"/>
      <w:pPr>
        <w:ind w:left="2160" w:hanging="180"/>
      </w:pPr>
      <w:rPr>
        <w:rFonts w:ascii="Book Antiqua" w:eastAsiaTheme="minorHAnsi" w:hAnsi="Book Antiqua"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2E6AC9"/>
    <w:multiLevelType w:val="hybridMultilevel"/>
    <w:tmpl w:val="9FFE714A"/>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51FE44AE"/>
    <w:multiLevelType w:val="hybridMultilevel"/>
    <w:tmpl w:val="F2C4DF50"/>
    <w:lvl w:ilvl="0" w:tplc="30D81A14">
      <w:start w:val="1"/>
      <w:numFmt w:val="decimal"/>
      <w:lvlText w:val="%1."/>
      <w:lvlJc w:val="left"/>
      <w:pPr>
        <w:ind w:left="720" w:hanging="360"/>
      </w:pPr>
      <w:rPr>
        <w:rFonts w:ascii="Times" w:hAnsi="Time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4431E9"/>
    <w:multiLevelType w:val="hybridMultilevel"/>
    <w:tmpl w:val="AD9A7F8E"/>
    <w:lvl w:ilvl="0" w:tplc="D1624FE4">
      <w:start w:val="1"/>
      <w:numFmt w:val="upperLetter"/>
      <w:lvlText w:val="%1."/>
      <w:lvlJc w:val="left"/>
      <w:pPr>
        <w:ind w:left="440" w:hanging="360"/>
      </w:pPr>
      <w:rPr>
        <w:rFonts w:hint="default"/>
        <w:color w:val="C45911" w:themeColor="accent2" w:themeShade="BF"/>
        <w:sz w:val="24"/>
        <w:szCs w:val="24"/>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5" w15:restartNumberingAfterBreak="0">
    <w:nsid w:val="52636631"/>
    <w:multiLevelType w:val="hybridMultilevel"/>
    <w:tmpl w:val="ED6E5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5115FB"/>
    <w:multiLevelType w:val="hybridMultilevel"/>
    <w:tmpl w:val="ED0EC3A0"/>
    <w:lvl w:ilvl="0" w:tplc="55CE1648">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DE6C5E"/>
    <w:multiLevelType w:val="hybridMultilevel"/>
    <w:tmpl w:val="32C4DB3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645B403B"/>
    <w:multiLevelType w:val="hybridMultilevel"/>
    <w:tmpl w:val="95DC8D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4C8139B"/>
    <w:multiLevelType w:val="hybridMultilevel"/>
    <w:tmpl w:val="34F4FD7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65BB123C"/>
    <w:multiLevelType w:val="hybridMultilevel"/>
    <w:tmpl w:val="B246BD22"/>
    <w:lvl w:ilvl="0" w:tplc="35D0F588">
      <w:start w:val="1"/>
      <w:numFmt w:val="upperLetter"/>
      <w:lvlText w:val="%1."/>
      <w:lvlJc w:val="left"/>
      <w:pPr>
        <w:ind w:left="720" w:hanging="360"/>
      </w:pPr>
      <w:rPr>
        <w:rFonts w:hint="default"/>
        <w:color w:val="ED7D3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921342"/>
    <w:multiLevelType w:val="hybridMultilevel"/>
    <w:tmpl w:val="C53038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7"/>
  </w:num>
  <w:num w:numId="3">
    <w:abstractNumId w:val="13"/>
  </w:num>
  <w:num w:numId="4">
    <w:abstractNumId w:val="7"/>
  </w:num>
  <w:num w:numId="5">
    <w:abstractNumId w:val="15"/>
  </w:num>
  <w:num w:numId="6">
    <w:abstractNumId w:val="16"/>
  </w:num>
  <w:num w:numId="7">
    <w:abstractNumId w:val="8"/>
  </w:num>
  <w:num w:numId="8">
    <w:abstractNumId w:val="2"/>
  </w:num>
  <w:num w:numId="9">
    <w:abstractNumId w:val="0"/>
  </w:num>
  <w:num w:numId="10">
    <w:abstractNumId w:val="12"/>
  </w:num>
  <w:num w:numId="11">
    <w:abstractNumId w:val="5"/>
  </w:num>
  <w:num w:numId="12">
    <w:abstractNumId w:val="3"/>
  </w:num>
  <w:num w:numId="13">
    <w:abstractNumId w:val="9"/>
  </w:num>
  <w:num w:numId="14">
    <w:abstractNumId w:val="20"/>
  </w:num>
  <w:num w:numId="15">
    <w:abstractNumId w:val="21"/>
  </w:num>
  <w:num w:numId="16">
    <w:abstractNumId w:val="14"/>
  </w:num>
  <w:num w:numId="17">
    <w:abstractNumId w:val="4"/>
  </w:num>
  <w:num w:numId="18">
    <w:abstractNumId w:val="18"/>
  </w:num>
  <w:num w:numId="19">
    <w:abstractNumId w:val="1"/>
  </w:num>
  <w:num w:numId="20">
    <w:abstractNumId w:val="19"/>
  </w:num>
  <w:num w:numId="21">
    <w:abstractNumId w:val="11"/>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F13"/>
    <w:rsid w:val="000022B9"/>
    <w:rsid w:val="00015E2C"/>
    <w:rsid w:val="000271B3"/>
    <w:rsid w:val="00031AFE"/>
    <w:rsid w:val="0004786E"/>
    <w:rsid w:val="00052AF3"/>
    <w:rsid w:val="00055959"/>
    <w:rsid w:val="000572B4"/>
    <w:rsid w:val="0006551B"/>
    <w:rsid w:val="00074911"/>
    <w:rsid w:val="0009434C"/>
    <w:rsid w:val="00096A14"/>
    <w:rsid w:val="000C481F"/>
    <w:rsid w:val="000C57F2"/>
    <w:rsid w:val="000D0CE8"/>
    <w:rsid w:val="000D3FDB"/>
    <w:rsid w:val="000D4268"/>
    <w:rsid w:val="000E0EC9"/>
    <w:rsid w:val="000E6650"/>
    <w:rsid w:val="000F4E1B"/>
    <w:rsid w:val="000F5E5A"/>
    <w:rsid w:val="001070E7"/>
    <w:rsid w:val="00112C7F"/>
    <w:rsid w:val="0012556E"/>
    <w:rsid w:val="00130EF9"/>
    <w:rsid w:val="00134AD9"/>
    <w:rsid w:val="00140870"/>
    <w:rsid w:val="001577E2"/>
    <w:rsid w:val="001620D9"/>
    <w:rsid w:val="001735FE"/>
    <w:rsid w:val="00180B51"/>
    <w:rsid w:val="001A02FE"/>
    <w:rsid w:val="001B516D"/>
    <w:rsid w:val="001B7CBF"/>
    <w:rsid w:val="001C4760"/>
    <w:rsid w:val="001C4C91"/>
    <w:rsid w:val="001D2A2C"/>
    <w:rsid w:val="001D6C49"/>
    <w:rsid w:val="001E01AC"/>
    <w:rsid w:val="001E68A7"/>
    <w:rsid w:val="001F379A"/>
    <w:rsid w:val="001F67F0"/>
    <w:rsid w:val="00222534"/>
    <w:rsid w:val="00223F10"/>
    <w:rsid w:val="00227859"/>
    <w:rsid w:val="00227A96"/>
    <w:rsid w:val="00246D49"/>
    <w:rsid w:val="002862D8"/>
    <w:rsid w:val="00290B70"/>
    <w:rsid w:val="002A0F6B"/>
    <w:rsid w:val="002A4F55"/>
    <w:rsid w:val="002A5B51"/>
    <w:rsid w:val="002C3E5D"/>
    <w:rsid w:val="002E11EF"/>
    <w:rsid w:val="002E45E9"/>
    <w:rsid w:val="0030054D"/>
    <w:rsid w:val="00325CC6"/>
    <w:rsid w:val="00333F32"/>
    <w:rsid w:val="00352834"/>
    <w:rsid w:val="003559E8"/>
    <w:rsid w:val="00357756"/>
    <w:rsid w:val="00360028"/>
    <w:rsid w:val="0036317F"/>
    <w:rsid w:val="00367D5D"/>
    <w:rsid w:val="00370EDA"/>
    <w:rsid w:val="00377D76"/>
    <w:rsid w:val="003944BB"/>
    <w:rsid w:val="003A2233"/>
    <w:rsid w:val="003D26D0"/>
    <w:rsid w:val="003D4A81"/>
    <w:rsid w:val="003E1255"/>
    <w:rsid w:val="003E2EA5"/>
    <w:rsid w:val="003E7159"/>
    <w:rsid w:val="003F1BF8"/>
    <w:rsid w:val="003F3986"/>
    <w:rsid w:val="003F4D0B"/>
    <w:rsid w:val="00405FE8"/>
    <w:rsid w:val="00406637"/>
    <w:rsid w:val="00413C6E"/>
    <w:rsid w:val="0043225F"/>
    <w:rsid w:val="00432C29"/>
    <w:rsid w:val="00443693"/>
    <w:rsid w:val="004558BA"/>
    <w:rsid w:val="00464EC3"/>
    <w:rsid w:val="00464F47"/>
    <w:rsid w:val="004A1EED"/>
    <w:rsid w:val="004A417C"/>
    <w:rsid w:val="004B3680"/>
    <w:rsid w:val="004B3FD2"/>
    <w:rsid w:val="004B7A4B"/>
    <w:rsid w:val="004C45F3"/>
    <w:rsid w:val="004E3E96"/>
    <w:rsid w:val="004E5549"/>
    <w:rsid w:val="004E5EB3"/>
    <w:rsid w:val="005036E8"/>
    <w:rsid w:val="005224FE"/>
    <w:rsid w:val="00523773"/>
    <w:rsid w:val="00534E01"/>
    <w:rsid w:val="0055247F"/>
    <w:rsid w:val="005742DC"/>
    <w:rsid w:val="00577D4F"/>
    <w:rsid w:val="00580A49"/>
    <w:rsid w:val="005826E0"/>
    <w:rsid w:val="00592491"/>
    <w:rsid w:val="005965B3"/>
    <w:rsid w:val="005A3659"/>
    <w:rsid w:val="005F6E48"/>
    <w:rsid w:val="00600E21"/>
    <w:rsid w:val="00601E10"/>
    <w:rsid w:val="0060676C"/>
    <w:rsid w:val="006121C8"/>
    <w:rsid w:val="006124BC"/>
    <w:rsid w:val="006176D6"/>
    <w:rsid w:val="00631935"/>
    <w:rsid w:val="006428AF"/>
    <w:rsid w:val="0066380B"/>
    <w:rsid w:val="006744B8"/>
    <w:rsid w:val="00681EDD"/>
    <w:rsid w:val="00690A73"/>
    <w:rsid w:val="00692CA8"/>
    <w:rsid w:val="006B5632"/>
    <w:rsid w:val="006D5A8C"/>
    <w:rsid w:val="006E12EC"/>
    <w:rsid w:val="006E446C"/>
    <w:rsid w:val="006E7AC7"/>
    <w:rsid w:val="006F0340"/>
    <w:rsid w:val="006F5AF6"/>
    <w:rsid w:val="00704DC3"/>
    <w:rsid w:val="00720A47"/>
    <w:rsid w:val="00723206"/>
    <w:rsid w:val="00727A1F"/>
    <w:rsid w:val="00733A34"/>
    <w:rsid w:val="00740230"/>
    <w:rsid w:val="00742BD3"/>
    <w:rsid w:val="007468BB"/>
    <w:rsid w:val="007509A7"/>
    <w:rsid w:val="00753AD2"/>
    <w:rsid w:val="00766FD6"/>
    <w:rsid w:val="0077392D"/>
    <w:rsid w:val="00774429"/>
    <w:rsid w:val="007840E0"/>
    <w:rsid w:val="0078758E"/>
    <w:rsid w:val="00787C4B"/>
    <w:rsid w:val="007B2915"/>
    <w:rsid w:val="007C33E8"/>
    <w:rsid w:val="007E6D8C"/>
    <w:rsid w:val="007F0A22"/>
    <w:rsid w:val="007F6E4C"/>
    <w:rsid w:val="0080545B"/>
    <w:rsid w:val="008054A9"/>
    <w:rsid w:val="00810B3C"/>
    <w:rsid w:val="008170EB"/>
    <w:rsid w:val="00831F6A"/>
    <w:rsid w:val="008327FC"/>
    <w:rsid w:val="00852B0F"/>
    <w:rsid w:val="00857812"/>
    <w:rsid w:val="00871CF0"/>
    <w:rsid w:val="00892B70"/>
    <w:rsid w:val="008B79A5"/>
    <w:rsid w:val="008B7F13"/>
    <w:rsid w:val="008E0146"/>
    <w:rsid w:val="008E15AF"/>
    <w:rsid w:val="008E3ABB"/>
    <w:rsid w:val="008F0A37"/>
    <w:rsid w:val="008F3207"/>
    <w:rsid w:val="00907640"/>
    <w:rsid w:val="00912F22"/>
    <w:rsid w:val="00920563"/>
    <w:rsid w:val="0092101E"/>
    <w:rsid w:val="00923173"/>
    <w:rsid w:val="009374CB"/>
    <w:rsid w:val="0094374C"/>
    <w:rsid w:val="00955646"/>
    <w:rsid w:val="00972CAF"/>
    <w:rsid w:val="00981486"/>
    <w:rsid w:val="009874D4"/>
    <w:rsid w:val="009907CA"/>
    <w:rsid w:val="009B46AF"/>
    <w:rsid w:val="009C1C73"/>
    <w:rsid w:val="009C3CE1"/>
    <w:rsid w:val="00A039C9"/>
    <w:rsid w:val="00A03F02"/>
    <w:rsid w:val="00A15712"/>
    <w:rsid w:val="00A2273F"/>
    <w:rsid w:val="00A253A9"/>
    <w:rsid w:val="00A254D0"/>
    <w:rsid w:val="00A511AF"/>
    <w:rsid w:val="00A55160"/>
    <w:rsid w:val="00A57A4B"/>
    <w:rsid w:val="00A64631"/>
    <w:rsid w:val="00A66899"/>
    <w:rsid w:val="00A67D1B"/>
    <w:rsid w:val="00A75565"/>
    <w:rsid w:val="00AD053B"/>
    <w:rsid w:val="00AE0090"/>
    <w:rsid w:val="00AE37A5"/>
    <w:rsid w:val="00AE6FEB"/>
    <w:rsid w:val="00AF0C1F"/>
    <w:rsid w:val="00AF52B6"/>
    <w:rsid w:val="00AF78B0"/>
    <w:rsid w:val="00AF7C99"/>
    <w:rsid w:val="00B0060C"/>
    <w:rsid w:val="00B0062D"/>
    <w:rsid w:val="00B16B7F"/>
    <w:rsid w:val="00B30AAA"/>
    <w:rsid w:val="00B40ECE"/>
    <w:rsid w:val="00B438D2"/>
    <w:rsid w:val="00B47CE8"/>
    <w:rsid w:val="00B74036"/>
    <w:rsid w:val="00B80337"/>
    <w:rsid w:val="00B96564"/>
    <w:rsid w:val="00BA1121"/>
    <w:rsid w:val="00BA2FAB"/>
    <w:rsid w:val="00BB0734"/>
    <w:rsid w:val="00BB3405"/>
    <w:rsid w:val="00BB4BA5"/>
    <w:rsid w:val="00BF484C"/>
    <w:rsid w:val="00BF52FE"/>
    <w:rsid w:val="00C0158C"/>
    <w:rsid w:val="00C14453"/>
    <w:rsid w:val="00C153EE"/>
    <w:rsid w:val="00C17449"/>
    <w:rsid w:val="00C307DF"/>
    <w:rsid w:val="00C30E56"/>
    <w:rsid w:val="00C37398"/>
    <w:rsid w:val="00C41E87"/>
    <w:rsid w:val="00C45D35"/>
    <w:rsid w:val="00C50FAD"/>
    <w:rsid w:val="00C51098"/>
    <w:rsid w:val="00C666C2"/>
    <w:rsid w:val="00C77A5D"/>
    <w:rsid w:val="00C80CA9"/>
    <w:rsid w:val="00C82359"/>
    <w:rsid w:val="00C972BC"/>
    <w:rsid w:val="00CC1E23"/>
    <w:rsid w:val="00CD1EE9"/>
    <w:rsid w:val="00CD5E21"/>
    <w:rsid w:val="00CD7537"/>
    <w:rsid w:val="00CE3B14"/>
    <w:rsid w:val="00CE54DB"/>
    <w:rsid w:val="00CE7226"/>
    <w:rsid w:val="00D04157"/>
    <w:rsid w:val="00D063B0"/>
    <w:rsid w:val="00D11106"/>
    <w:rsid w:val="00D13DB5"/>
    <w:rsid w:val="00D22F04"/>
    <w:rsid w:val="00D22FAD"/>
    <w:rsid w:val="00D30FDC"/>
    <w:rsid w:val="00D35E4B"/>
    <w:rsid w:val="00D70B18"/>
    <w:rsid w:val="00D861D9"/>
    <w:rsid w:val="00D95EA6"/>
    <w:rsid w:val="00DB3628"/>
    <w:rsid w:val="00DB7D6D"/>
    <w:rsid w:val="00DC50D4"/>
    <w:rsid w:val="00DD351E"/>
    <w:rsid w:val="00DD4772"/>
    <w:rsid w:val="00DF427C"/>
    <w:rsid w:val="00E00B65"/>
    <w:rsid w:val="00E01956"/>
    <w:rsid w:val="00E02F95"/>
    <w:rsid w:val="00E03198"/>
    <w:rsid w:val="00E03F52"/>
    <w:rsid w:val="00E10756"/>
    <w:rsid w:val="00E10FFB"/>
    <w:rsid w:val="00E332AE"/>
    <w:rsid w:val="00E3700D"/>
    <w:rsid w:val="00E46F2D"/>
    <w:rsid w:val="00E47166"/>
    <w:rsid w:val="00E52BA4"/>
    <w:rsid w:val="00E57E97"/>
    <w:rsid w:val="00E725D9"/>
    <w:rsid w:val="00E93F2F"/>
    <w:rsid w:val="00EC028E"/>
    <w:rsid w:val="00ED057E"/>
    <w:rsid w:val="00EE2FAC"/>
    <w:rsid w:val="00EE3796"/>
    <w:rsid w:val="00EE51BF"/>
    <w:rsid w:val="00F15D15"/>
    <w:rsid w:val="00F177DB"/>
    <w:rsid w:val="00F21C9F"/>
    <w:rsid w:val="00F236FE"/>
    <w:rsid w:val="00F415A3"/>
    <w:rsid w:val="00F42DC9"/>
    <w:rsid w:val="00F648CA"/>
    <w:rsid w:val="00F67422"/>
    <w:rsid w:val="00F80D84"/>
    <w:rsid w:val="00F900D0"/>
    <w:rsid w:val="00F9109A"/>
    <w:rsid w:val="00F95FEC"/>
    <w:rsid w:val="00FA7D64"/>
    <w:rsid w:val="00FB0064"/>
    <w:rsid w:val="00FB2C47"/>
    <w:rsid w:val="00FE6095"/>
    <w:rsid w:val="00FF7B9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42325D"/>
  <w15:chartTrackingRefBased/>
  <w15:docId w15:val="{3A09DCB0-462A-1A44-8AD4-724D35B6B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BA4"/>
    <w:rPr>
      <w:rFonts w:ascii="Times New Roman" w:eastAsia="Times New Roman" w:hAnsi="Times New Roman" w:cs="Times New Roman"/>
    </w:rPr>
  </w:style>
  <w:style w:type="paragraph" w:styleId="Heading1">
    <w:name w:val="heading 1"/>
    <w:basedOn w:val="Normal"/>
    <w:next w:val="Normal"/>
    <w:link w:val="Heading1Char"/>
    <w:uiPriority w:val="9"/>
    <w:qFormat/>
    <w:rsid w:val="0063193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0062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273F"/>
    <w:rPr>
      <w:sz w:val="18"/>
      <w:szCs w:val="18"/>
    </w:rPr>
  </w:style>
  <w:style w:type="character" w:customStyle="1" w:styleId="BalloonTextChar">
    <w:name w:val="Balloon Text Char"/>
    <w:basedOn w:val="DefaultParagraphFont"/>
    <w:link w:val="BalloonText"/>
    <w:uiPriority w:val="99"/>
    <w:semiHidden/>
    <w:rsid w:val="00A2273F"/>
    <w:rPr>
      <w:rFonts w:ascii="Times New Roman" w:hAnsi="Times New Roman" w:cs="Times New Roman"/>
      <w:sz w:val="18"/>
      <w:szCs w:val="18"/>
    </w:rPr>
  </w:style>
  <w:style w:type="paragraph" w:styleId="NormalWeb">
    <w:name w:val="Normal (Web)"/>
    <w:basedOn w:val="Normal"/>
    <w:uiPriority w:val="99"/>
    <w:unhideWhenUsed/>
    <w:rsid w:val="00A66899"/>
  </w:style>
  <w:style w:type="paragraph" w:styleId="ListParagraph">
    <w:name w:val="List Paragraph"/>
    <w:basedOn w:val="Normal"/>
    <w:uiPriority w:val="34"/>
    <w:qFormat/>
    <w:rsid w:val="00A66899"/>
    <w:pPr>
      <w:spacing w:after="160" w:line="259" w:lineRule="auto"/>
      <w:ind w:left="720"/>
      <w:contextualSpacing/>
    </w:pPr>
    <w:rPr>
      <w:sz w:val="22"/>
      <w:szCs w:val="22"/>
    </w:rPr>
  </w:style>
  <w:style w:type="character" w:customStyle="1" w:styleId="Heading1Char">
    <w:name w:val="Heading 1 Char"/>
    <w:basedOn w:val="DefaultParagraphFont"/>
    <w:link w:val="Heading1"/>
    <w:uiPriority w:val="9"/>
    <w:rsid w:val="0063193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E0EC9"/>
    <w:pPr>
      <w:spacing w:before="480" w:line="276" w:lineRule="auto"/>
      <w:outlineLvl w:val="9"/>
    </w:pPr>
    <w:rPr>
      <w:b/>
      <w:bCs/>
      <w:sz w:val="28"/>
      <w:szCs w:val="28"/>
      <w:lang w:val="en-US"/>
    </w:rPr>
  </w:style>
  <w:style w:type="paragraph" w:styleId="TOC2">
    <w:name w:val="toc 2"/>
    <w:basedOn w:val="Normal"/>
    <w:next w:val="Normal"/>
    <w:autoRedefine/>
    <w:uiPriority w:val="39"/>
    <w:unhideWhenUsed/>
    <w:rsid w:val="000E0EC9"/>
    <w:pPr>
      <w:ind w:left="240"/>
    </w:pPr>
    <w:rPr>
      <w:rFonts w:cstheme="minorHAnsi"/>
      <w:smallCaps/>
      <w:sz w:val="20"/>
      <w:szCs w:val="20"/>
    </w:rPr>
  </w:style>
  <w:style w:type="paragraph" w:styleId="TOC1">
    <w:name w:val="toc 1"/>
    <w:basedOn w:val="Normal"/>
    <w:next w:val="Normal"/>
    <w:autoRedefine/>
    <w:uiPriority w:val="39"/>
    <w:unhideWhenUsed/>
    <w:rsid w:val="001070E7"/>
    <w:pPr>
      <w:tabs>
        <w:tab w:val="left" w:pos="2366"/>
        <w:tab w:val="right" w:leader="dot" w:pos="9350"/>
      </w:tabs>
      <w:spacing w:before="120" w:after="120"/>
      <w:ind w:left="1843"/>
      <w:jc w:val="both"/>
    </w:pPr>
    <w:rPr>
      <w:rFonts w:ascii="Georgia" w:hAnsi="Georgia" w:cs="Arial"/>
      <w:noProof/>
      <w:spacing w:val="-12"/>
      <w:sz w:val="20"/>
      <w:szCs w:val="20"/>
      <w:lang w:val="en-US"/>
    </w:rPr>
  </w:style>
  <w:style w:type="paragraph" w:styleId="TOC3">
    <w:name w:val="toc 3"/>
    <w:basedOn w:val="Normal"/>
    <w:next w:val="Normal"/>
    <w:autoRedefine/>
    <w:uiPriority w:val="39"/>
    <w:unhideWhenUsed/>
    <w:rsid w:val="000E0EC9"/>
    <w:pPr>
      <w:ind w:left="480"/>
    </w:pPr>
    <w:rPr>
      <w:rFonts w:cstheme="minorHAnsi"/>
      <w:i/>
      <w:iCs/>
      <w:sz w:val="20"/>
      <w:szCs w:val="20"/>
    </w:rPr>
  </w:style>
  <w:style w:type="paragraph" w:styleId="TOC4">
    <w:name w:val="toc 4"/>
    <w:basedOn w:val="Normal"/>
    <w:next w:val="Normal"/>
    <w:autoRedefine/>
    <w:uiPriority w:val="39"/>
    <w:unhideWhenUsed/>
    <w:rsid w:val="000E0EC9"/>
    <w:pPr>
      <w:ind w:left="720"/>
    </w:pPr>
    <w:rPr>
      <w:rFonts w:cstheme="minorHAnsi"/>
      <w:sz w:val="18"/>
      <w:szCs w:val="18"/>
    </w:rPr>
  </w:style>
  <w:style w:type="paragraph" w:styleId="TOC5">
    <w:name w:val="toc 5"/>
    <w:basedOn w:val="Normal"/>
    <w:next w:val="Normal"/>
    <w:autoRedefine/>
    <w:uiPriority w:val="39"/>
    <w:unhideWhenUsed/>
    <w:rsid w:val="000E0EC9"/>
    <w:pPr>
      <w:ind w:left="960"/>
    </w:pPr>
    <w:rPr>
      <w:rFonts w:cstheme="minorHAnsi"/>
      <w:sz w:val="18"/>
      <w:szCs w:val="18"/>
    </w:rPr>
  </w:style>
  <w:style w:type="paragraph" w:styleId="TOC6">
    <w:name w:val="toc 6"/>
    <w:basedOn w:val="Normal"/>
    <w:next w:val="Normal"/>
    <w:autoRedefine/>
    <w:uiPriority w:val="39"/>
    <w:unhideWhenUsed/>
    <w:rsid w:val="000E0EC9"/>
    <w:pPr>
      <w:ind w:left="1200"/>
    </w:pPr>
    <w:rPr>
      <w:rFonts w:cstheme="minorHAnsi"/>
      <w:sz w:val="18"/>
      <w:szCs w:val="18"/>
    </w:rPr>
  </w:style>
  <w:style w:type="paragraph" w:styleId="TOC7">
    <w:name w:val="toc 7"/>
    <w:basedOn w:val="Normal"/>
    <w:next w:val="Normal"/>
    <w:autoRedefine/>
    <w:uiPriority w:val="39"/>
    <w:unhideWhenUsed/>
    <w:rsid w:val="000E0EC9"/>
    <w:pPr>
      <w:ind w:left="1440"/>
    </w:pPr>
    <w:rPr>
      <w:rFonts w:cstheme="minorHAnsi"/>
      <w:sz w:val="18"/>
      <w:szCs w:val="18"/>
    </w:rPr>
  </w:style>
  <w:style w:type="paragraph" w:styleId="TOC8">
    <w:name w:val="toc 8"/>
    <w:basedOn w:val="Normal"/>
    <w:next w:val="Normal"/>
    <w:autoRedefine/>
    <w:uiPriority w:val="39"/>
    <w:unhideWhenUsed/>
    <w:rsid w:val="000E0EC9"/>
    <w:pPr>
      <w:ind w:left="1680"/>
    </w:pPr>
    <w:rPr>
      <w:rFonts w:cstheme="minorHAnsi"/>
      <w:sz w:val="18"/>
      <w:szCs w:val="18"/>
    </w:rPr>
  </w:style>
  <w:style w:type="paragraph" w:styleId="TOC9">
    <w:name w:val="toc 9"/>
    <w:basedOn w:val="Normal"/>
    <w:next w:val="Normal"/>
    <w:autoRedefine/>
    <w:uiPriority w:val="39"/>
    <w:unhideWhenUsed/>
    <w:rsid w:val="000E0EC9"/>
    <w:pPr>
      <w:ind w:left="1920"/>
    </w:pPr>
    <w:rPr>
      <w:rFonts w:cstheme="minorHAnsi"/>
      <w:sz w:val="18"/>
      <w:szCs w:val="18"/>
    </w:rPr>
  </w:style>
  <w:style w:type="character" w:styleId="Hyperlink">
    <w:name w:val="Hyperlink"/>
    <w:basedOn w:val="DefaultParagraphFont"/>
    <w:uiPriority w:val="99"/>
    <w:unhideWhenUsed/>
    <w:rsid w:val="000E0EC9"/>
    <w:rPr>
      <w:color w:val="0563C1" w:themeColor="hyperlink"/>
      <w:u w:val="single"/>
    </w:rPr>
  </w:style>
  <w:style w:type="paragraph" w:styleId="Footer">
    <w:name w:val="footer"/>
    <w:basedOn w:val="Normal"/>
    <w:link w:val="FooterChar"/>
    <w:uiPriority w:val="99"/>
    <w:unhideWhenUsed/>
    <w:rsid w:val="00FA7D64"/>
    <w:pPr>
      <w:tabs>
        <w:tab w:val="center" w:pos="4680"/>
        <w:tab w:val="right" w:pos="9360"/>
      </w:tabs>
    </w:pPr>
  </w:style>
  <w:style w:type="character" w:customStyle="1" w:styleId="FooterChar">
    <w:name w:val="Footer Char"/>
    <w:basedOn w:val="DefaultParagraphFont"/>
    <w:link w:val="Footer"/>
    <w:uiPriority w:val="99"/>
    <w:rsid w:val="00FA7D64"/>
  </w:style>
  <w:style w:type="character" w:styleId="PageNumber">
    <w:name w:val="page number"/>
    <w:basedOn w:val="DefaultParagraphFont"/>
    <w:uiPriority w:val="99"/>
    <w:semiHidden/>
    <w:unhideWhenUsed/>
    <w:rsid w:val="00FA7D64"/>
  </w:style>
  <w:style w:type="character" w:styleId="CommentReference">
    <w:name w:val="annotation reference"/>
    <w:basedOn w:val="DefaultParagraphFont"/>
    <w:uiPriority w:val="99"/>
    <w:semiHidden/>
    <w:unhideWhenUsed/>
    <w:rsid w:val="00CE7226"/>
    <w:rPr>
      <w:sz w:val="16"/>
      <w:szCs w:val="16"/>
    </w:rPr>
  </w:style>
  <w:style w:type="paragraph" w:styleId="CommentText">
    <w:name w:val="annotation text"/>
    <w:basedOn w:val="Normal"/>
    <w:link w:val="CommentTextChar"/>
    <w:uiPriority w:val="99"/>
    <w:semiHidden/>
    <w:unhideWhenUsed/>
    <w:rsid w:val="00CE7226"/>
    <w:rPr>
      <w:sz w:val="20"/>
      <w:szCs w:val="20"/>
    </w:rPr>
  </w:style>
  <w:style w:type="character" w:customStyle="1" w:styleId="CommentTextChar">
    <w:name w:val="Comment Text Char"/>
    <w:basedOn w:val="DefaultParagraphFont"/>
    <w:link w:val="CommentText"/>
    <w:uiPriority w:val="99"/>
    <w:semiHidden/>
    <w:rsid w:val="00CE7226"/>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B0062D"/>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FE6095"/>
    <w:rPr>
      <w:color w:val="605E5C"/>
      <w:shd w:val="clear" w:color="auto" w:fill="E1DFDD"/>
    </w:rPr>
  </w:style>
  <w:style w:type="paragraph" w:styleId="Header">
    <w:name w:val="header"/>
    <w:basedOn w:val="Normal"/>
    <w:link w:val="HeaderChar"/>
    <w:uiPriority w:val="99"/>
    <w:unhideWhenUsed/>
    <w:rsid w:val="00B74036"/>
    <w:pPr>
      <w:tabs>
        <w:tab w:val="center" w:pos="4680"/>
        <w:tab w:val="right" w:pos="9360"/>
      </w:tabs>
    </w:pPr>
  </w:style>
  <w:style w:type="character" w:customStyle="1" w:styleId="HeaderChar">
    <w:name w:val="Header Char"/>
    <w:basedOn w:val="DefaultParagraphFont"/>
    <w:link w:val="Header"/>
    <w:uiPriority w:val="99"/>
    <w:rsid w:val="00B74036"/>
  </w:style>
  <w:style w:type="paragraph" w:styleId="NoSpacing">
    <w:name w:val="No Spacing"/>
    <w:uiPriority w:val="1"/>
    <w:qFormat/>
    <w:rsid w:val="00C80CA9"/>
    <w:rPr>
      <w:rFonts w:eastAsiaTheme="minorEastAsia"/>
      <w:sz w:val="22"/>
      <w:szCs w:val="22"/>
      <w:lang w:val="en-US" w:eastAsia="zh-CN"/>
    </w:rPr>
  </w:style>
  <w:style w:type="paragraph" w:styleId="CommentSubject">
    <w:name w:val="annotation subject"/>
    <w:basedOn w:val="CommentText"/>
    <w:next w:val="CommentText"/>
    <w:link w:val="CommentSubjectChar"/>
    <w:uiPriority w:val="99"/>
    <w:semiHidden/>
    <w:unhideWhenUsed/>
    <w:rsid w:val="00A15712"/>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15712"/>
    <w:rPr>
      <w:rFonts w:ascii="Times New Roman" w:eastAsia="Times New Roman" w:hAnsi="Times New Roman" w:cs="Times New Roman"/>
      <w:b/>
      <w:bCs/>
      <w:sz w:val="20"/>
      <w:szCs w:val="20"/>
    </w:rPr>
  </w:style>
  <w:style w:type="paragraph" w:styleId="Revision">
    <w:name w:val="Revision"/>
    <w:hidden/>
    <w:uiPriority w:val="99"/>
    <w:semiHidden/>
    <w:rsid w:val="008E0146"/>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8E01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5255473">
      <w:bodyDiv w:val="1"/>
      <w:marLeft w:val="0"/>
      <w:marRight w:val="0"/>
      <w:marTop w:val="0"/>
      <w:marBottom w:val="0"/>
      <w:divBdr>
        <w:top w:val="none" w:sz="0" w:space="0" w:color="auto"/>
        <w:left w:val="none" w:sz="0" w:space="0" w:color="auto"/>
        <w:bottom w:val="none" w:sz="0" w:space="0" w:color="auto"/>
        <w:right w:val="none" w:sz="0" w:space="0" w:color="auto"/>
      </w:divBdr>
    </w:div>
    <w:div w:id="1460492193">
      <w:bodyDiv w:val="1"/>
      <w:marLeft w:val="0"/>
      <w:marRight w:val="0"/>
      <w:marTop w:val="0"/>
      <w:marBottom w:val="0"/>
      <w:divBdr>
        <w:top w:val="none" w:sz="0" w:space="0" w:color="auto"/>
        <w:left w:val="none" w:sz="0" w:space="0" w:color="auto"/>
        <w:bottom w:val="none" w:sz="0" w:space="0" w:color="auto"/>
        <w:right w:val="none" w:sz="0" w:space="0" w:color="auto"/>
      </w:divBdr>
    </w:div>
    <w:div w:id="1612472360">
      <w:bodyDiv w:val="1"/>
      <w:marLeft w:val="0"/>
      <w:marRight w:val="0"/>
      <w:marTop w:val="0"/>
      <w:marBottom w:val="0"/>
      <w:divBdr>
        <w:top w:val="none" w:sz="0" w:space="0" w:color="auto"/>
        <w:left w:val="none" w:sz="0" w:space="0" w:color="auto"/>
        <w:bottom w:val="none" w:sz="0" w:space="0" w:color="auto"/>
        <w:right w:val="none" w:sz="0" w:space="0" w:color="auto"/>
      </w:divBdr>
    </w:div>
    <w:div w:id="1749571352">
      <w:bodyDiv w:val="1"/>
      <w:marLeft w:val="0"/>
      <w:marRight w:val="0"/>
      <w:marTop w:val="0"/>
      <w:marBottom w:val="0"/>
      <w:divBdr>
        <w:top w:val="none" w:sz="0" w:space="0" w:color="auto"/>
        <w:left w:val="none" w:sz="0" w:space="0" w:color="auto"/>
        <w:bottom w:val="none" w:sz="0" w:space="0" w:color="auto"/>
        <w:right w:val="none" w:sz="0" w:space="0" w:color="auto"/>
      </w:divBdr>
    </w:div>
    <w:div w:id="2114742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hyperlink" Target="mailto:cgfd@sec.gov.ph"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ictdsubmission@sec.gov.ph" TargetMode="External"/><Relationship Id="rId2" Type="http://schemas.openxmlformats.org/officeDocument/2006/relationships/customXml" Target="../customXml/item2.xml"/><Relationship Id="rId16" Type="http://schemas.openxmlformats.org/officeDocument/2006/relationships/hyperlink" Target="mailto:cgfd@sec.gov.ph"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tiff"/><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P a g e</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03E087BD4D0224CBF139CF2EFC590D7" ma:contentTypeVersion="4" ma:contentTypeDescription="Create a new document." ma:contentTypeScope="" ma:versionID="f4b9754597d6dd667b4242e4780dbdb4">
  <xsd:schema xmlns:xsd="http://www.w3.org/2001/XMLSchema" xmlns:xs="http://www.w3.org/2001/XMLSchema" xmlns:p="http://schemas.microsoft.com/office/2006/metadata/properties" xmlns:ns3="6e7e1178-f6ae-41fa-9bc9-74de335e437c" targetNamespace="http://schemas.microsoft.com/office/2006/metadata/properties" ma:root="true" ma:fieldsID="25cf4181acd7e7786468fe47e7fe6c72" ns3:_="">
    <xsd:import namespace="6e7e1178-f6ae-41fa-9bc9-74de335e437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7e1178-f6ae-41fa-9bc9-74de335e43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790917-9AEC-4B4A-862D-34029032203E}">
  <ds:schemaRefs>
    <ds:schemaRef ds:uri="http://schemas.microsoft.com/sharepoint/v3/contenttype/forms"/>
  </ds:schemaRefs>
</ds:datastoreItem>
</file>

<file path=customXml/itemProps3.xml><?xml version="1.0" encoding="utf-8"?>
<ds:datastoreItem xmlns:ds="http://schemas.openxmlformats.org/officeDocument/2006/customXml" ds:itemID="{B9C79254-C6B7-4521-A568-64143D1DAF18}">
  <ds:schemaRefs>
    <ds:schemaRef ds:uri="http://schemas.microsoft.com/office/infopath/2007/PartnerControls"/>
    <ds:schemaRef ds:uri="http://purl.org/dc/terms/"/>
    <ds:schemaRef ds:uri="6e7e1178-f6ae-41fa-9bc9-74de335e437c"/>
    <ds:schemaRef ds:uri="http://www.w3.org/XML/1998/namespace"/>
    <ds:schemaRef ds:uri="http://schemas.microsoft.com/office/2006/documentManagement/types"/>
    <ds:schemaRef ds:uri="http://purl.org/dc/dcmitype/"/>
    <ds:schemaRef ds:uri="http://purl.org/dc/elements/1.1/"/>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F5784530-1B15-5345-81AE-DFEDD9F823F8}">
  <ds:schemaRefs>
    <ds:schemaRef ds:uri="http://schemas.openxmlformats.org/officeDocument/2006/bibliography"/>
  </ds:schemaRefs>
</ds:datastoreItem>
</file>

<file path=customXml/itemProps5.xml><?xml version="1.0" encoding="utf-8"?>
<ds:datastoreItem xmlns:ds="http://schemas.openxmlformats.org/officeDocument/2006/customXml" ds:itemID="{46FA3630-1C1C-4240-9B39-1D2221EDF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7e1178-f6ae-41fa-9bc9-74de335e43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4661</Words>
  <Characters>26573</Characters>
  <Application>Microsoft Office Word</Application>
  <DocSecurity>4</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Vincent J La Chica</dc:creator>
  <cp:keywords/>
  <dc:description/>
  <cp:lastModifiedBy>Priscilla Valer</cp:lastModifiedBy>
  <cp:revision>2</cp:revision>
  <cp:lastPrinted>2020-09-04T06:26:00Z</cp:lastPrinted>
  <dcterms:created xsi:type="dcterms:W3CDTF">2020-09-07T04:24:00Z</dcterms:created>
  <dcterms:modified xsi:type="dcterms:W3CDTF">2020-09-07T04:24:00Z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0x010100A03E087BD4D0224CBF139CF2EFC590D7</vt:lpwstr>
  </property>
</Properties>
</file>