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286C" w14:textId="0A64869C" w:rsidR="005560CF" w:rsidRPr="0059692A" w:rsidRDefault="00C77E44" w:rsidP="006A6AA6">
      <w:pPr>
        <w:jc w:val="center"/>
        <w:rPr>
          <w:rFonts w:ascii="Book Antiqua" w:hAnsi="Book Antiqua" w:cs="Arial"/>
          <w:b/>
          <w:bCs/>
          <w:sz w:val="32"/>
          <w:szCs w:val="32"/>
          <w:lang w:val="en-US"/>
        </w:rPr>
      </w:pPr>
      <w:r w:rsidRPr="0059692A">
        <w:rPr>
          <w:rFonts w:ascii="Book Antiqua" w:hAnsi="Book Antiqua" w:cs="Arial"/>
          <w:b/>
          <w:bCs/>
          <w:sz w:val="32"/>
          <w:szCs w:val="32"/>
          <w:lang w:val="en-US"/>
        </w:rPr>
        <w:t xml:space="preserve">TMAP TAX UPDATES </w:t>
      </w:r>
    </w:p>
    <w:p w14:paraId="4AAFAD5C" w14:textId="34D3C703" w:rsidR="00C77E44" w:rsidRDefault="006A6AA6" w:rsidP="00DE1798">
      <w:pPr>
        <w:jc w:val="center"/>
        <w:rPr>
          <w:rFonts w:ascii="Book Antiqua" w:hAnsi="Book Antiqua" w:cs="Arial"/>
          <w:lang w:val="en-US"/>
        </w:rPr>
      </w:pPr>
      <w:r w:rsidRPr="0059692A">
        <w:rPr>
          <w:rFonts w:ascii="Book Antiqua" w:hAnsi="Book Antiqua" w:cs="Arial"/>
          <w:lang w:val="en-US"/>
        </w:rPr>
        <w:t xml:space="preserve">April 16 to May 15, 2021 </w:t>
      </w:r>
    </w:p>
    <w:p w14:paraId="3B868100" w14:textId="36F6F0B1" w:rsidR="00AC6B5A" w:rsidRPr="00AC6B5A" w:rsidRDefault="00AC6B5A" w:rsidP="00DE1798">
      <w:pPr>
        <w:jc w:val="center"/>
        <w:rPr>
          <w:rFonts w:ascii="Book Antiqua" w:hAnsi="Book Antiqua" w:cs="Arial"/>
          <w:i/>
          <w:iCs/>
          <w:lang w:val="en-US"/>
        </w:rPr>
      </w:pPr>
      <w:r>
        <w:rPr>
          <w:rFonts w:ascii="Book Antiqua" w:hAnsi="Book Antiqua" w:cs="Arial"/>
          <w:i/>
          <w:iCs/>
          <w:lang w:val="en-US"/>
        </w:rPr>
        <w:t>Prepared by: Castillo Laman Tan Pantaleon &amp; San Jose Law Offices</w:t>
      </w:r>
    </w:p>
    <w:p w14:paraId="1741C536" w14:textId="77777777" w:rsidR="009C68AA" w:rsidRPr="0059692A" w:rsidRDefault="009C68AA" w:rsidP="008D33F2">
      <w:pPr>
        <w:rPr>
          <w:rFonts w:ascii="Book Antiqua" w:hAnsi="Book Antiqua" w:cs="Arial"/>
          <w:b/>
          <w:bCs/>
          <w:u w:val="single"/>
          <w:lang w:val="en-US"/>
        </w:rPr>
      </w:pPr>
    </w:p>
    <w:p w14:paraId="07FC3FD6" w14:textId="7A51D1F6" w:rsidR="006A6AA6" w:rsidRPr="0059692A" w:rsidRDefault="006A6AA6" w:rsidP="006A6AA6">
      <w:pPr>
        <w:jc w:val="center"/>
        <w:rPr>
          <w:rFonts w:ascii="Book Antiqua" w:hAnsi="Book Antiqua" w:cs="Arial"/>
          <w:b/>
          <w:bCs/>
          <w:u w:val="single"/>
          <w:lang w:val="en-US"/>
        </w:rPr>
      </w:pPr>
      <w:r w:rsidRPr="0059692A">
        <w:rPr>
          <w:rFonts w:ascii="Book Antiqua" w:hAnsi="Book Antiqua" w:cs="Arial"/>
          <w:b/>
          <w:bCs/>
          <w:u w:val="single"/>
          <w:lang w:val="en-US"/>
        </w:rPr>
        <w:t xml:space="preserve">Court of Tax Appeals Decisions </w:t>
      </w:r>
    </w:p>
    <w:p w14:paraId="7345CEB1" w14:textId="6D0598AA" w:rsidR="006A6AA6" w:rsidRPr="0059692A" w:rsidRDefault="006A6AA6" w:rsidP="004A2D77">
      <w:pPr>
        <w:rPr>
          <w:rFonts w:ascii="Book Antiqua" w:hAnsi="Book Antiqua" w:cs="Arial"/>
          <w:b/>
          <w:bCs/>
          <w:u w:val="single"/>
          <w:lang w:val="en-US"/>
        </w:rPr>
      </w:pPr>
    </w:p>
    <w:p w14:paraId="25FA7E69" w14:textId="7D6798AD" w:rsidR="006A6AA6" w:rsidRPr="0059692A" w:rsidRDefault="007805DA" w:rsidP="00CC7017">
      <w:pPr>
        <w:jc w:val="both"/>
        <w:rPr>
          <w:rFonts w:ascii="Book Antiqua" w:hAnsi="Book Antiqua" w:cs="Arial"/>
          <w:b/>
          <w:bCs/>
          <w:lang w:val="en-US"/>
        </w:rPr>
      </w:pPr>
      <w:r w:rsidRPr="0059692A">
        <w:rPr>
          <w:rFonts w:ascii="Book Antiqua" w:hAnsi="Book Antiqua" w:cs="Arial"/>
          <w:b/>
          <w:bCs/>
          <w:lang w:val="en-US"/>
        </w:rPr>
        <w:t xml:space="preserve">VETAS SERVICES PHILIPPINES, INC. V. COMMISSIONER OF INTERNAL REVENUE. CTA CASE NO. 9554. May 19, 2021 </w:t>
      </w:r>
    </w:p>
    <w:p w14:paraId="02D781C8" w14:textId="785F4301" w:rsidR="007805DA" w:rsidRPr="0059692A" w:rsidRDefault="007805DA" w:rsidP="004C20E2">
      <w:pPr>
        <w:rPr>
          <w:rFonts w:ascii="Book Antiqua" w:hAnsi="Book Antiqua" w:cs="Arial"/>
          <w:b/>
          <w:bCs/>
          <w:lang w:val="en-US"/>
        </w:rPr>
      </w:pPr>
    </w:p>
    <w:p w14:paraId="0087B781" w14:textId="0966EBEA" w:rsidR="00A0394D" w:rsidRPr="00A0394D" w:rsidRDefault="00FA3BC0" w:rsidP="00A0394D">
      <w:pPr>
        <w:jc w:val="both"/>
        <w:rPr>
          <w:rFonts w:ascii="Book Antiqua" w:hAnsi="Book Antiqua" w:cs="Arial"/>
        </w:rPr>
      </w:pPr>
      <w:r w:rsidRPr="0059692A">
        <w:rPr>
          <w:rFonts w:ascii="Book Antiqua" w:hAnsi="Book Antiqua" w:cs="Arial"/>
          <w:lang w:val="en-US"/>
        </w:rPr>
        <w:t>This is a Motion for Reconsideration</w:t>
      </w:r>
      <w:r w:rsidR="00011F3A" w:rsidRPr="0059692A">
        <w:rPr>
          <w:rFonts w:ascii="Book Antiqua" w:hAnsi="Book Antiqua" w:cs="Arial"/>
          <w:lang w:val="en-US"/>
        </w:rPr>
        <w:t xml:space="preserve"> (“MFR”)</w:t>
      </w:r>
      <w:r w:rsidRPr="0059692A">
        <w:rPr>
          <w:rFonts w:ascii="Book Antiqua" w:hAnsi="Book Antiqua" w:cs="Arial"/>
          <w:lang w:val="en-US"/>
        </w:rPr>
        <w:t xml:space="preserve"> from the Decision of the Court of Tax Appeals (“CTA”) </w:t>
      </w:r>
      <w:r w:rsidR="00E81794" w:rsidRPr="0059692A">
        <w:rPr>
          <w:rFonts w:ascii="Book Antiqua" w:hAnsi="Book Antiqua" w:cs="Arial"/>
          <w:lang w:val="en-US"/>
        </w:rPr>
        <w:t>denying</w:t>
      </w:r>
      <w:r w:rsidR="001F1110" w:rsidRPr="0059692A">
        <w:rPr>
          <w:rFonts w:ascii="Book Antiqua" w:hAnsi="Book Antiqua" w:cs="Arial"/>
          <w:lang w:val="en-US"/>
        </w:rPr>
        <w:t xml:space="preserve"> </w:t>
      </w:r>
      <w:r w:rsidR="00FD45F2" w:rsidRPr="0059692A">
        <w:rPr>
          <w:rFonts w:ascii="Book Antiqua" w:hAnsi="Book Antiqua" w:cs="Arial"/>
          <w:lang w:val="en-US"/>
        </w:rPr>
        <w:t xml:space="preserve">petitioner’s </w:t>
      </w:r>
      <w:r w:rsidR="001F1110" w:rsidRPr="0059692A">
        <w:rPr>
          <w:rFonts w:ascii="Book Antiqua" w:hAnsi="Book Antiqua" w:cs="Arial"/>
          <w:lang w:val="en-US"/>
        </w:rPr>
        <w:t xml:space="preserve">Petition for Review for insufficiency of evidence. </w:t>
      </w:r>
      <w:r w:rsidR="00BA5B31" w:rsidRPr="0059692A">
        <w:rPr>
          <w:rFonts w:ascii="Book Antiqua" w:hAnsi="Book Antiqua" w:cs="Arial"/>
          <w:lang w:val="en-US"/>
        </w:rPr>
        <w:t xml:space="preserve">In essence, the taxpayer argues that its sales to </w:t>
      </w:r>
      <w:r w:rsidR="00C30C56" w:rsidRPr="0059692A">
        <w:rPr>
          <w:rFonts w:ascii="Book Antiqua" w:hAnsi="Book Antiqua" w:cs="Arial"/>
          <w:lang w:val="en-US"/>
        </w:rPr>
        <w:t xml:space="preserve">the </w:t>
      </w:r>
      <w:r w:rsidR="00BA5B31" w:rsidRPr="0059692A">
        <w:rPr>
          <w:rFonts w:ascii="Book Antiqua" w:hAnsi="Book Antiqua" w:cs="Arial"/>
          <w:lang w:val="en-US"/>
        </w:rPr>
        <w:t>Energy Development Corporation (“EDC”)</w:t>
      </w:r>
      <w:r w:rsidR="00E45391" w:rsidRPr="0059692A">
        <w:rPr>
          <w:rFonts w:ascii="Book Antiqua" w:hAnsi="Book Antiqua" w:cs="Arial"/>
        </w:rPr>
        <w:t xml:space="preserve"> is </w:t>
      </w:r>
      <w:r w:rsidR="00BA5B31" w:rsidRPr="0059692A">
        <w:rPr>
          <w:rFonts w:ascii="Book Antiqua" w:hAnsi="Book Antiqua" w:cs="Arial"/>
        </w:rPr>
        <w:t>subject to zero percent value-added tax (VAT) under Section 108(8)(3) of the National Internal Revenue Code (NIRC) of 1997, as amended</w:t>
      </w:r>
      <w:r w:rsidR="008276C8" w:rsidRPr="0059692A">
        <w:rPr>
          <w:rFonts w:ascii="Book Antiqua" w:hAnsi="Book Antiqua" w:cs="Arial"/>
        </w:rPr>
        <w:t xml:space="preserve">, and that </w:t>
      </w:r>
      <w:r w:rsidR="008276C8" w:rsidRPr="008276C8">
        <w:rPr>
          <w:rFonts w:ascii="Book Antiqua" w:hAnsi="Book Antiqua" w:cs="Arial"/>
        </w:rPr>
        <w:t>Republic Act No. 9513</w:t>
      </w:r>
      <w:r w:rsidR="00EA163E" w:rsidRPr="0059692A">
        <w:rPr>
          <w:rFonts w:ascii="Book Antiqua" w:hAnsi="Book Antiqua" w:cs="Arial"/>
        </w:rPr>
        <w:t>, otherwise known as the Renewable Energy Act of 2008 (“REA”)</w:t>
      </w:r>
      <w:r w:rsidR="0091425C" w:rsidRPr="0059692A">
        <w:rPr>
          <w:rFonts w:ascii="Book Antiqua" w:hAnsi="Book Antiqua" w:cs="Arial"/>
        </w:rPr>
        <w:t>,</w:t>
      </w:r>
      <w:r w:rsidR="00EA163E" w:rsidRPr="0059692A">
        <w:rPr>
          <w:rFonts w:ascii="Book Antiqua" w:hAnsi="Book Antiqua" w:cs="Arial"/>
        </w:rPr>
        <w:t xml:space="preserve"> </w:t>
      </w:r>
      <w:r w:rsidR="008276C8" w:rsidRPr="008276C8">
        <w:rPr>
          <w:rFonts w:ascii="Book Antiqua" w:hAnsi="Book Antiqua" w:cs="Arial"/>
        </w:rPr>
        <w:t>does not require a Certificate of Endorsement issued by the Department of Energy (</w:t>
      </w:r>
      <w:r w:rsidR="00EA163E" w:rsidRPr="0059692A">
        <w:rPr>
          <w:rFonts w:ascii="Book Antiqua" w:hAnsi="Book Antiqua" w:cs="Arial"/>
        </w:rPr>
        <w:t>“</w:t>
      </w:r>
      <w:r w:rsidR="008276C8" w:rsidRPr="008276C8">
        <w:rPr>
          <w:rFonts w:ascii="Book Antiqua" w:hAnsi="Book Antiqua" w:cs="Arial"/>
        </w:rPr>
        <w:t>DOE</w:t>
      </w:r>
      <w:r w:rsidR="00EA163E" w:rsidRPr="0059692A">
        <w:rPr>
          <w:rFonts w:ascii="Book Antiqua" w:hAnsi="Book Antiqua" w:cs="Arial"/>
        </w:rPr>
        <w:t>”</w:t>
      </w:r>
      <w:r w:rsidR="008276C8" w:rsidRPr="008276C8">
        <w:rPr>
          <w:rFonts w:ascii="Book Antiqua" w:hAnsi="Book Antiqua" w:cs="Arial"/>
        </w:rPr>
        <w:t xml:space="preserve">), on a per transaction basis, for the imposition of zero percent </w:t>
      </w:r>
      <w:r w:rsidR="00EA163E" w:rsidRPr="0059692A">
        <w:rPr>
          <w:rFonts w:ascii="Book Antiqua" w:hAnsi="Book Antiqua" w:cs="Arial"/>
        </w:rPr>
        <w:t>VAT</w:t>
      </w:r>
      <w:r w:rsidR="008276C8" w:rsidRPr="008276C8">
        <w:rPr>
          <w:rFonts w:ascii="Book Antiqua" w:hAnsi="Book Antiqua" w:cs="Arial"/>
        </w:rPr>
        <w:t xml:space="preserve"> rate on </w:t>
      </w:r>
      <w:r w:rsidR="00EA163E" w:rsidRPr="0059692A">
        <w:rPr>
          <w:rFonts w:ascii="Book Antiqua" w:hAnsi="Book Antiqua" w:cs="Arial"/>
        </w:rPr>
        <w:t>the</w:t>
      </w:r>
      <w:r w:rsidR="00BE3594" w:rsidRPr="0059692A">
        <w:rPr>
          <w:rFonts w:ascii="Book Antiqua" w:hAnsi="Book Antiqua" w:cs="Arial"/>
        </w:rPr>
        <w:t xml:space="preserve"> Renewable </w:t>
      </w:r>
      <w:r w:rsidR="00A0394D" w:rsidRPr="0059692A">
        <w:rPr>
          <w:rFonts w:ascii="Book Antiqua" w:hAnsi="Book Antiqua" w:cs="Arial"/>
        </w:rPr>
        <w:t xml:space="preserve">Energy(“RE”) </w:t>
      </w:r>
      <w:r w:rsidR="00801EFD" w:rsidRPr="0059692A">
        <w:rPr>
          <w:rFonts w:ascii="Book Antiqua" w:hAnsi="Book Antiqua" w:cs="Arial"/>
        </w:rPr>
        <w:t>d</w:t>
      </w:r>
      <w:r w:rsidR="00EA163E" w:rsidRPr="0059692A">
        <w:rPr>
          <w:rFonts w:ascii="Book Antiqua" w:hAnsi="Book Antiqua" w:cs="Arial"/>
        </w:rPr>
        <w:t>eveloper’s (</w:t>
      </w:r>
      <w:r w:rsidR="00EA163E" w:rsidRPr="0059692A">
        <w:rPr>
          <w:rFonts w:ascii="Book Antiqua" w:hAnsi="Book Antiqua" w:cs="Arial"/>
          <w:i/>
          <w:iCs/>
        </w:rPr>
        <w:t xml:space="preserve">i.e. </w:t>
      </w:r>
      <w:r w:rsidR="00EA163E" w:rsidRPr="0059692A">
        <w:rPr>
          <w:rFonts w:ascii="Book Antiqua" w:hAnsi="Book Antiqua" w:cs="Arial"/>
        </w:rPr>
        <w:t>EDC)</w:t>
      </w:r>
      <w:r w:rsidR="008276C8" w:rsidRPr="008276C8">
        <w:rPr>
          <w:rFonts w:ascii="Book Antiqua" w:hAnsi="Book Antiqua" w:cs="Arial"/>
        </w:rPr>
        <w:t xml:space="preserve"> local purchases of goods, properties and services</w:t>
      </w:r>
      <w:r w:rsidR="00EA163E" w:rsidRPr="0059692A">
        <w:rPr>
          <w:rFonts w:ascii="Book Antiqua" w:hAnsi="Book Antiqua" w:cs="Arial"/>
        </w:rPr>
        <w:t xml:space="preserve">. </w:t>
      </w:r>
      <w:r w:rsidR="00A0394D" w:rsidRPr="0059692A">
        <w:rPr>
          <w:rFonts w:ascii="Book Antiqua" w:hAnsi="Book Antiqua" w:cs="Arial"/>
        </w:rPr>
        <w:t xml:space="preserve">Further, taxpayer argues that </w:t>
      </w:r>
      <w:r w:rsidR="00A0394D" w:rsidRPr="00A0394D">
        <w:rPr>
          <w:rFonts w:ascii="Book Antiqua" w:hAnsi="Book Antiqua" w:cs="Arial"/>
        </w:rPr>
        <w:t xml:space="preserve">while Section 18(C) of the Implementing Rules and Regulations </w:t>
      </w:r>
      <w:r w:rsidR="00A0394D" w:rsidRPr="0059692A">
        <w:rPr>
          <w:rFonts w:ascii="Book Antiqua" w:hAnsi="Book Antiqua" w:cs="Arial"/>
        </w:rPr>
        <w:t>of REA</w:t>
      </w:r>
      <w:r w:rsidR="00AE3E0C" w:rsidRPr="0059692A">
        <w:rPr>
          <w:rFonts w:ascii="Book Antiqua" w:hAnsi="Book Antiqua" w:cs="Arial"/>
        </w:rPr>
        <w:t xml:space="preserve"> (“REA-IRR”)</w:t>
      </w:r>
      <w:r w:rsidR="00A0394D" w:rsidRPr="00A0394D">
        <w:rPr>
          <w:rFonts w:ascii="Book Antiqua" w:hAnsi="Book Antiqua" w:cs="Arial"/>
        </w:rPr>
        <w:t xml:space="preserve"> requires RE developers to secure a Certificate of Endorsement from the DOE, this requirement is only applicable for certain incentives. </w:t>
      </w:r>
      <w:r w:rsidR="00E5617E" w:rsidRPr="0059692A">
        <w:rPr>
          <w:rFonts w:ascii="Book Antiqua" w:hAnsi="Book Antiqua" w:cs="Arial"/>
        </w:rPr>
        <w:t>Lastly</w:t>
      </w:r>
      <w:r w:rsidR="00A0394D" w:rsidRPr="00A0394D">
        <w:rPr>
          <w:rFonts w:ascii="Book Antiqua" w:hAnsi="Book Antiqua" w:cs="Arial"/>
        </w:rPr>
        <w:t xml:space="preserve">, petitioner posits that Section 18(C) </w:t>
      </w:r>
      <w:r w:rsidR="00294170" w:rsidRPr="0059692A">
        <w:rPr>
          <w:rFonts w:ascii="Book Antiqua" w:hAnsi="Book Antiqua" w:cs="Arial"/>
        </w:rPr>
        <w:t>of REA-IRR</w:t>
      </w:r>
      <w:r w:rsidR="00A0394D" w:rsidRPr="00A0394D">
        <w:rPr>
          <w:rFonts w:ascii="Book Antiqua" w:hAnsi="Book Antiqua" w:cs="Arial"/>
        </w:rPr>
        <w:t xml:space="preserve"> appears to have been issued merely to implement Section 26 of </w:t>
      </w:r>
      <w:r w:rsidR="00801EFD" w:rsidRPr="0059692A">
        <w:rPr>
          <w:rFonts w:ascii="Book Antiqua" w:hAnsi="Book Antiqua" w:cs="Arial"/>
        </w:rPr>
        <w:t xml:space="preserve">REA. </w:t>
      </w:r>
    </w:p>
    <w:p w14:paraId="52E56161" w14:textId="44D5B2CF" w:rsidR="00EA163E" w:rsidRPr="0059692A" w:rsidRDefault="00EA163E" w:rsidP="00EA163E">
      <w:pPr>
        <w:jc w:val="both"/>
        <w:rPr>
          <w:rFonts w:ascii="Book Antiqua" w:hAnsi="Book Antiqua" w:cs="Arial"/>
        </w:rPr>
      </w:pPr>
    </w:p>
    <w:p w14:paraId="7B23D369" w14:textId="1AED1056" w:rsidR="00B01F57" w:rsidRPr="0059692A" w:rsidRDefault="00011F3A" w:rsidP="00B01F57">
      <w:pPr>
        <w:jc w:val="both"/>
        <w:rPr>
          <w:rFonts w:ascii="Book Antiqua" w:hAnsi="Book Antiqua" w:cs="Arial"/>
          <w:i/>
          <w:iCs/>
        </w:rPr>
      </w:pPr>
      <w:r w:rsidRPr="0059692A">
        <w:rPr>
          <w:rFonts w:ascii="Book Antiqua" w:hAnsi="Book Antiqua" w:cs="Arial"/>
        </w:rPr>
        <w:t>The CTA denied the MFR</w:t>
      </w:r>
      <w:r w:rsidR="00B478F5" w:rsidRPr="0059692A">
        <w:rPr>
          <w:rFonts w:ascii="Book Antiqua" w:hAnsi="Book Antiqua" w:cs="Arial"/>
        </w:rPr>
        <w:t xml:space="preserve">. CTA enunciated that there </w:t>
      </w:r>
      <w:r w:rsidRPr="0059692A">
        <w:rPr>
          <w:rFonts w:ascii="Book Antiqua" w:hAnsi="Book Antiqua" w:cs="Arial"/>
        </w:rPr>
        <w:t xml:space="preserve">is no basis to argue that </w:t>
      </w:r>
      <w:proofErr w:type="gramStart"/>
      <w:r w:rsidRPr="0059692A">
        <w:rPr>
          <w:rFonts w:ascii="Book Antiqua" w:hAnsi="Book Antiqua" w:cs="Arial"/>
        </w:rPr>
        <w:t>the  submission</w:t>
      </w:r>
      <w:proofErr w:type="gramEnd"/>
      <w:r w:rsidRPr="0059692A">
        <w:rPr>
          <w:rFonts w:ascii="Book Antiqua" w:hAnsi="Book Antiqua" w:cs="Arial"/>
        </w:rPr>
        <w:t xml:space="preserve"> of the Certificate of Endorsement is only applicable to certain incentives</w:t>
      </w:r>
      <w:r w:rsidR="00AC5E62" w:rsidRPr="0059692A">
        <w:rPr>
          <w:rFonts w:ascii="Book Antiqua" w:hAnsi="Book Antiqua" w:cs="Arial"/>
        </w:rPr>
        <w:t xml:space="preserve">. Further, it </w:t>
      </w:r>
      <w:r w:rsidR="00AC5E62" w:rsidRPr="00AC5E62">
        <w:rPr>
          <w:rFonts w:ascii="Book Antiqua" w:hAnsi="Book Antiqua" w:cs="Arial"/>
        </w:rPr>
        <w:t>is evident that Section 18 (C)</w:t>
      </w:r>
      <w:r w:rsidR="00FC4C14" w:rsidRPr="0059692A">
        <w:rPr>
          <w:rFonts w:ascii="Book Antiqua" w:hAnsi="Book Antiqua" w:cs="Arial"/>
        </w:rPr>
        <w:t xml:space="preserve">, REA-IRR </w:t>
      </w:r>
      <w:r w:rsidR="00AC5E62" w:rsidRPr="00AC5E62">
        <w:rPr>
          <w:rFonts w:ascii="Book Antiqua" w:hAnsi="Book Antiqua" w:cs="Arial"/>
        </w:rPr>
        <w:t>makes no distinction as to what type of incentive it applies.</w:t>
      </w:r>
      <w:r w:rsidR="00B01F57" w:rsidRPr="0059692A">
        <w:rPr>
          <w:rFonts w:ascii="Book Antiqua" w:hAnsi="Book Antiqua" w:cs="Arial"/>
        </w:rPr>
        <w:t xml:space="preserve"> </w:t>
      </w:r>
      <w:r w:rsidR="00D45A66" w:rsidRPr="0059692A">
        <w:rPr>
          <w:rFonts w:ascii="Book Antiqua" w:hAnsi="Book Antiqua" w:cs="Arial"/>
        </w:rPr>
        <w:t>C</w:t>
      </w:r>
      <w:r w:rsidR="00B01F57" w:rsidRPr="0059692A">
        <w:rPr>
          <w:rFonts w:ascii="Book Antiqua" w:hAnsi="Book Antiqua" w:cs="Arial"/>
        </w:rPr>
        <w:t xml:space="preserve">ontrary to petitioner's allegation, </w:t>
      </w:r>
      <w:r w:rsidR="00E2190F" w:rsidRPr="00AC5E62">
        <w:rPr>
          <w:rFonts w:ascii="Book Antiqua" w:hAnsi="Book Antiqua" w:cs="Arial"/>
        </w:rPr>
        <w:t>Section 18 (C)</w:t>
      </w:r>
      <w:r w:rsidR="00E2190F" w:rsidRPr="0059692A">
        <w:rPr>
          <w:rFonts w:ascii="Book Antiqua" w:hAnsi="Book Antiqua" w:cs="Arial"/>
        </w:rPr>
        <w:t xml:space="preserve">, REA-IRR </w:t>
      </w:r>
      <w:r w:rsidR="00B01F57" w:rsidRPr="0059692A">
        <w:rPr>
          <w:rFonts w:ascii="Book Antiqua" w:hAnsi="Book Antiqua" w:cs="Arial"/>
        </w:rPr>
        <w:t xml:space="preserve">does not appear to have been issued merely to implement Section 26, REA. The RE developer's Certificate of Endorsement issued by the DOE </w:t>
      </w:r>
      <w:r w:rsidR="00B01F57" w:rsidRPr="0059692A">
        <w:rPr>
          <w:rFonts w:ascii="Book Antiqua" w:hAnsi="Book Antiqua" w:cs="Arial"/>
          <w:i/>
          <w:iCs/>
        </w:rPr>
        <w:t xml:space="preserve">is a condition for the entitlement to the incentives and other privileges under REA. </w:t>
      </w:r>
    </w:p>
    <w:p w14:paraId="6BDC0900" w14:textId="735230AB" w:rsidR="00653C0A" w:rsidRPr="0059692A" w:rsidRDefault="00653C0A" w:rsidP="00B01F57">
      <w:pPr>
        <w:jc w:val="both"/>
        <w:rPr>
          <w:rFonts w:ascii="Book Antiqua" w:hAnsi="Book Antiqua" w:cs="Arial"/>
          <w:i/>
          <w:iCs/>
        </w:rPr>
      </w:pPr>
    </w:p>
    <w:p w14:paraId="01647F2D" w14:textId="634B82D8" w:rsidR="00653C0A" w:rsidRPr="0059692A" w:rsidRDefault="00653C0A" w:rsidP="00653C0A">
      <w:pPr>
        <w:jc w:val="both"/>
        <w:rPr>
          <w:rFonts w:ascii="Book Antiqua" w:hAnsi="Book Antiqua" w:cs="Arial"/>
          <w:i/>
          <w:iCs/>
        </w:rPr>
      </w:pPr>
      <w:r w:rsidRPr="0059692A">
        <w:rPr>
          <w:rFonts w:ascii="Book Antiqua" w:hAnsi="Book Antiqua" w:cs="Arial"/>
          <w:i/>
          <w:iCs/>
        </w:rPr>
        <w:t xml:space="preserve">Thus, </w:t>
      </w:r>
      <w:r w:rsidRPr="00653C0A">
        <w:rPr>
          <w:rFonts w:ascii="Book Antiqua" w:hAnsi="Book Antiqua" w:cs="Arial"/>
          <w:i/>
          <w:iCs/>
        </w:rPr>
        <w:t xml:space="preserve">in order to avail the incentives under </w:t>
      </w:r>
      <w:r w:rsidRPr="0059692A">
        <w:rPr>
          <w:rFonts w:ascii="Book Antiqua" w:hAnsi="Book Antiqua" w:cs="Arial"/>
          <w:i/>
          <w:iCs/>
        </w:rPr>
        <w:t>REA</w:t>
      </w:r>
      <w:r w:rsidRPr="00653C0A">
        <w:rPr>
          <w:rFonts w:ascii="Book Antiqua" w:hAnsi="Book Antiqua" w:cs="Arial"/>
          <w:i/>
          <w:iCs/>
        </w:rPr>
        <w:t xml:space="preserve">, </w:t>
      </w:r>
      <w:proofErr w:type="gramStart"/>
      <w:r w:rsidRPr="00653C0A">
        <w:rPr>
          <w:rFonts w:ascii="Book Antiqua" w:hAnsi="Book Antiqua" w:cs="Arial"/>
          <w:i/>
          <w:iCs/>
        </w:rPr>
        <w:t>i.e.</w:t>
      </w:r>
      <w:proofErr w:type="gramEnd"/>
      <w:r w:rsidRPr="00653C0A">
        <w:rPr>
          <w:rFonts w:ascii="Book Antiqua" w:hAnsi="Book Antiqua" w:cs="Arial"/>
          <w:i/>
          <w:iCs/>
        </w:rPr>
        <w:t xml:space="preserve"> VAT zero-rating, it must be shown that a Certificate of Endorsement was issued by the DOE to the RE developer. </w:t>
      </w:r>
    </w:p>
    <w:p w14:paraId="0322689E" w14:textId="5A1437B5" w:rsidR="00CC7017" w:rsidRPr="0059692A" w:rsidRDefault="00CC7017" w:rsidP="00653C0A">
      <w:pPr>
        <w:jc w:val="both"/>
        <w:rPr>
          <w:rFonts w:ascii="Book Antiqua" w:hAnsi="Book Antiqua" w:cs="Arial"/>
        </w:rPr>
      </w:pPr>
    </w:p>
    <w:p w14:paraId="1B6C021B" w14:textId="77777777" w:rsidR="00CC7017" w:rsidRPr="0059692A" w:rsidRDefault="00CC7017" w:rsidP="00CC7017">
      <w:pPr>
        <w:rPr>
          <w:rFonts w:ascii="Book Antiqua" w:hAnsi="Book Antiqua" w:cs="Arial"/>
          <w:b/>
          <w:bCs/>
          <w:u w:val="single"/>
          <w:lang w:val="en-US"/>
        </w:rPr>
      </w:pPr>
    </w:p>
    <w:p w14:paraId="1999886C" w14:textId="31773383" w:rsidR="00CC7017" w:rsidRPr="0059692A" w:rsidRDefault="00CC7017" w:rsidP="00CC7017">
      <w:pPr>
        <w:jc w:val="both"/>
        <w:rPr>
          <w:rFonts w:ascii="Book Antiqua" w:hAnsi="Book Antiqua" w:cs="Arial"/>
          <w:b/>
          <w:bCs/>
          <w:lang w:val="en-US"/>
        </w:rPr>
      </w:pPr>
      <w:r w:rsidRPr="0059692A">
        <w:rPr>
          <w:rFonts w:ascii="Book Antiqua" w:hAnsi="Book Antiqua" w:cs="Arial"/>
          <w:b/>
          <w:bCs/>
          <w:lang w:val="en-US"/>
        </w:rPr>
        <w:t xml:space="preserve">DONATO </w:t>
      </w:r>
      <w:r w:rsidR="00E9234F" w:rsidRPr="0059692A">
        <w:rPr>
          <w:rFonts w:ascii="Book Antiqua" w:hAnsi="Book Antiqua" w:cs="Arial"/>
          <w:b/>
          <w:bCs/>
          <w:lang w:val="en-US"/>
        </w:rPr>
        <w:t>C. CRUZ TRADING CORP V. COMMISSIONER OF INTERNAL REVENUE</w:t>
      </w:r>
      <w:r w:rsidRPr="0059692A">
        <w:rPr>
          <w:rFonts w:ascii="Book Antiqua" w:hAnsi="Book Antiqua" w:cs="Arial"/>
          <w:b/>
          <w:bCs/>
          <w:lang w:val="en-US"/>
        </w:rPr>
        <w:t xml:space="preserve">. CTA CASE NO. </w:t>
      </w:r>
      <w:r w:rsidR="00E9234F" w:rsidRPr="0059692A">
        <w:rPr>
          <w:rFonts w:ascii="Book Antiqua" w:hAnsi="Book Antiqua" w:cs="Arial"/>
          <w:b/>
          <w:bCs/>
          <w:lang w:val="en-US"/>
        </w:rPr>
        <w:t>9721</w:t>
      </w:r>
      <w:r w:rsidRPr="0059692A">
        <w:rPr>
          <w:rFonts w:ascii="Book Antiqua" w:hAnsi="Book Antiqua" w:cs="Arial"/>
          <w:b/>
          <w:bCs/>
          <w:lang w:val="en-US"/>
        </w:rPr>
        <w:t xml:space="preserve">. May 19, 2021 </w:t>
      </w:r>
    </w:p>
    <w:p w14:paraId="4500014E" w14:textId="6F522C3E" w:rsidR="007D40C3" w:rsidRPr="0059692A" w:rsidRDefault="007D40C3" w:rsidP="00CC7017">
      <w:pPr>
        <w:jc w:val="both"/>
        <w:rPr>
          <w:rFonts w:ascii="Book Antiqua" w:hAnsi="Book Antiqua" w:cs="Arial"/>
          <w:b/>
          <w:bCs/>
          <w:lang w:val="en-US"/>
        </w:rPr>
      </w:pPr>
    </w:p>
    <w:p w14:paraId="0BFAFCF8" w14:textId="36CA0810" w:rsidR="00C64746" w:rsidRPr="0059692A" w:rsidRDefault="00C82359" w:rsidP="00AF302B">
      <w:pPr>
        <w:jc w:val="both"/>
        <w:rPr>
          <w:rFonts w:ascii="Book Antiqua" w:hAnsi="Book Antiqua" w:cs="Arial"/>
          <w:lang w:val="en-US"/>
        </w:rPr>
      </w:pPr>
      <w:r w:rsidRPr="0059692A">
        <w:rPr>
          <w:rFonts w:ascii="Book Antiqua" w:hAnsi="Book Antiqua" w:cs="Arial"/>
          <w:lang w:val="en-US"/>
        </w:rPr>
        <w:t>Petitioner</w:t>
      </w:r>
      <w:r w:rsidR="007F57F4" w:rsidRPr="0059692A">
        <w:rPr>
          <w:rFonts w:ascii="Book Antiqua" w:hAnsi="Book Antiqua" w:cs="Arial"/>
          <w:lang w:val="en-US"/>
        </w:rPr>
        <w:t xml:space="preserve"> was assessed</w:t>
      </w:r>
      <w:r w:rsidR="00D149FC" w:rsidRPr="0059692A">
        <w:rPr>
          <w:rFonts w:ascii="Book Antiqua" w:hAnsi="Book Antiqua" w:cs="Arial"/>
          <w:lang w:val="en-US"/>
        </w:rPr>
        <w:t xml:space="preserve"> by</w:t>
      </w:r>
      <w:r w:rsidR="007F57F4" w:rsidRPr="0059692A">
        <w:rPr>
          <w:rFonts w:ascii="Book Antiqua" w:hAnsi="Book Antiqua" w:cs="Arial"/>
          <w:lang w:val="en-US"/>
        </w:rPr>
        <w:t xml:space="preserve"> Bureau of Internal Revenue (“BIR”) </w:t>
      </w:r>
      <w:r w:rsidR="00D62BCD" w:rsidRPr="0059692A">
        <w:rPr>
          <w:rFonts w:ascii="Book Antiqua" w:hAnsi="Book Antiqua" w:cs="Arial"/>
          <w:lang w:val="en-US"/>
        </w:rPr>
        <w:t xml:space="preserve">with </w:t>
      </w:r>
      <w:r w:rsidR="007F57F4" w:rsidRPr="0059692A">
        <w:rPr>
          <w:rFonts w:ascii="Book Antiqua" w:hAnsi="Book Antiqua" w:cs="Arial"/>
          <w:lang w:val="en-US"/>
        </w:rPr>
        <w:t>deficiency</w:t>
      </w:r>
      <w:r w:rsidR="00F04761" w:rsidRPr="0059692A">
        <w:rPr>
          <w:rFonts w:ascii="Book Antiqua" w:hAnsi="Book Antiqua" w:cs="Arial"/>
          <w:lang w:val="en-US"/>
        </w:rPr>
        <w:t xml:space="preserve"> </w:t>
      </w:r>
      <w:r w:rsidR="00D62BCD" w:rsidRPr="0059692A">
        <w:rPr>
          <w:rFonts w:ascii="Book Antiqua" w:hAnsi="Book Antiqua" w:cs="Arial"/>
          <w:lang w:val="en-US"/>
        </w:rPr>
        <w:t xml:space="preserve">expanded withholding tax (“EWT”) </w:t>
      </w:r>
      <w:r w:rsidR="00F04761" w:rsidRPr="0059692A">
        <w:rPr>
          <w:rFonts w:ascii="Book Antiqua" w:hAnsi="Book Antiqua" w:cs="Arial"/>
          <w:lang w:val="en-US"/>
        </w:rPr>
        <w:t xml:space="preserve">for taxable year </w:t>
      </w:r>
      <w:r w:rsidR="006765B4" w:rsidRPr="0059692A">
        <w:rPr>
          <w:rFonts w:ascii="Book Antiqua" w:hAnsi="Book Antiqua" w:cs="Arial"/>
          <w:lang w:val="en-US"/>
        </w:rPr>
        <w:t xml:space="preserve">(“TY”) </w:t>
      </w:r>
      <w:r w:rsidR="00F04761" w:rsidRPr="0059692A">
        <w:rPr>
          <w:rFonts w:ascii="Book Antiqua" w:hAnsi="Book Antiqua" w:cs="Arial"/>
          <w:lang w:val="en-US"/>
        </w:rPr>
        <w:t xml:space="preserve">2006. </w:t>
      </w:r>
    </w:p>
    <w:p w14:paraId="02A508BC" w14:textId="77777777" w:rsidR="00A62E11" w:rsidRPr="0059692A" w:rsidRDefault="00A62E11" w:rsidP="00AF302B">
      <w:pPr>
        <w:jc w:val="both"/>
        <w:rPr>
          <w:rFonts w:ascii="Book Antiqua" w:hAnsi="Book Antiqua" w:cs="Arial"/>
          <w:lang w:val="en-US"/>
        </w:rPr>
      </w:pPr>
    </w:p>
    <w:p w14:paraId="6C9DBCF0" w14:textId="24F75A8F" w:rsidR="00AF302B" w:rsidRPr="0059692A" w:rsidRDefault="00C82359" w:rsidP="00AF302B">
      <w:pPr>
        <w:jc w:val="both"/>
        <w:rPr>
          <w:rFonts w:ascii="Book Antiqua" w:eastAsiaTheme="minorHAnsi" w:hAnsi="Book Antiqua" w:cs="Arial"/>
        </w:rPr>
      </w:pPr>
      <w:r w:rsidRPr="0059692A">
        <w:rPr>
          <w:rFonts w:ascii="Book Antiqua" w:hAnsi="Book Antiqua" w:cs="Arial"/>
          <w:lang w:val="en-US"/>
        </w:rPr>
        <w:lastRenderedPageBreak/>
        <w:t xml:space="preserve">Petitioner </w:t>
      </w:r>
      <w:r w:rsidR="0050477A" w:rsidRPr="0059692A">
        <w:rPr>
          <w:rFonts w:ascii="Book Antiqua" w:hAnsi="Book Antiqua" w:cs="Arial"/>
          <w:lang w:val="en-US"/>
        </w:rPr>
        <w:t>assail</w:t>
      </w:r>
      <w:r w:rsidRPr="0059692A">
        <w:rPr>
          <w:rFonts w:ascii="Book Antiqua" w:hAnsi="Book Antiqua" w:cs="Arial"/>
          <w:lang w:val="en-US"/>
        </w:rPr>
        <w:t>ed</w:t>
      </w:r>
      <w:r w:rsidR="0050477A" w:rsidRPr="0059692A">
        <w:rPr>
          <w:rFonts w:ascii="Book Antiqua" w:hAnsi="Book Antiqua" w:cs="Arial"/>
          <w:lang w:val="en-US"/>
        </w:rPr>
        <w:t xml:space="preserve"> </w:t>
      </w:r>
      <w:r w:rsidR="00DC58A6" w:rsidRPr="0059692A">
        <w:rPr>
          <w:rFonts w:ascii="Book Antiqua" w:hAnsi="Book Antiqua" w:cs="Arial"/>
          <w:lang w:val="en-US"/>
        </w:rPr>
        <w:t xml:space="preserve">the assessment on the following grounds: (1) </w:t>
      </w:r>
      <w:r w:rsidR="0050477A" w:rsidRPr="0059692A">
        <w:rPr>
          <w:rFonts w:ascii="Book Antiqua" w:hAnsi="Book Antiqua" w:cs="Arial"/>
          <w:lang w:val="en-US"/>
        </w:rPr>
        <w:t>the letter of authority</w:t>
      </w:r>
      <w:r w:rsidR="00DC58A6" w:rsidRPr="0059692A">
        <w:rPr>
          <w:rFonts w:ascii="Book Antiqua" w:hAnsi="Book Antiqua" w:cs="Arial"/>
          <w:lang w:val="en-US"/>
        </w:rPr>
        <w:t xml:space="preserve"> (“LOA”)</w:t>
      </w:r>
      <w:r w:rsidR="0050477A" w:rsidRPr="0050477A">
        <w:rPr>
          <w:rFonts w:ascii="Book Antiqua" w:eastAsiaTheme="minorHAnsi" w:hAnsi="Book Antiqua" w:cs="Arial"/>
        </w:rPr>
        <w:t xml:space="preserve"> did not bear the BIR's d</w:t>
      </w:r>
      <w:r w:rsidR="00DC58A6" w:rsidRPr="0059692A">
        <w:rPr>
          <w:rFonts w:ascii="Book Antiqua" w:eastAsiaTheme="minorHAnsi" w:hAnsi="Book Antiqua" w:cs="Arial"/>
        </w:rPr>
        <w:t xml:space="preserve">ry seal; (2) the taxpayer did not </w:t>
      </w:r>
      <w:r w:rsidR="0050477A" w:rsidRPr="0050477A">
        <w:rPr>
          <w:rFonts w:ascii="Book Antiqua" w:eastAsiaTheme="minorHAnsi" w:hAnsi="Book Antiqua" w:cs="Arial"/>
        </w:rPr>
        <w:t>receive the Notice of their Designation</w:t>
      </w:r>
      <w:r w:rsidR="00DC58A6" w:rsidRPr="0059692A">
        <w:rPr>
          <w:rFonts w:ascii="Book Antiqua" w:eastAsiaTheme="minorHAnsi" w:hAnsi="Book Antiqua" w:cs="Arial"/>
        </w:rPr>
        <w:t xml:space="preserve"> (“NTD”)</w:t>
      </w:r>
      <w:r w:rsidR="0050477A" w:rsidRPr="0050477A">
        <w:rPr>
          <w:rFonts w:ascii="Book Antiqua" w:eastAsiaTheme="minorHAnsi" w:hAnsi="Book Antiqua" w:cs="Arial"/>
        </w:rPr>
        <w:t xml:space="preserve"> as a top </w:t>
      </w:r>
      <w:r w:rsidR="00EB3F12" w:rsidRPr="0059692A">
        <w:rPr>
          <w:rFonts w:ascii="Book Antiqua" w:eastAsiaTheme="minorHAnsi" w:hAnsi="Book Antiqua" w:cs="Arial"/>
        </w:rPr>
        <w:t>10,000</w:t>
      </w:r>
      <w:r w:rsidR="0050477A" w:rsidRPr="0050477A">
        <w:rPr>
          <w:rFonts w:ascii="Book Antiqua" w:eastAsiaTheme="minorHAnsi" w:hAnsi="Book Antiqua" w:cs="Arial"/>
        </w:rPr>
        <w:t xml:space="preserve"> corporation</w:t>
      </w:r>
      <w:r w:rsidR="00DC58A6" w:rsidRPr="0059692A">
        <w:rPr>
          <w:rFonts w:ascii="Book Antiqua" w:eastAsiaTheme="minorHAnsi" w:hAnsi="Book Antiqua" w:cs="Arial"/>
        </w:rPr>
        <w:t xml:space="preserve">; and (3) </w:t>
      </w:r>
      <w:r w:rsidR="00B66D74" w:rsidRPr="0059692A">
        <w:rPr>
          <w:rFonts w:ascii="Book Antiqua" w:eastAsiaTheme="minorHAnsi" w:hAnsi="Book Antiqua" w:cs="Arial"/>
        </w:rPr>
        <w:t>assuming argued</w:t>
      </w:r>
      <w:r w:rsidR="00DC58A6" w:rsidRPr="0059692A">
        <w:rPr>
          <w:rFonts w:ascii="Book Antiqua" w:eastAsiaTheme="minorHAnsi" w:hAnsi="Book Antiqua" w:cs="Arial"/>
        </w:rPr>
        <w:t xml:space="preserve"> that it receive</w:t>
      </w:r>
      <w:r w:rsidR="00604FA5" w:rsidRPr="0059692A">
        <w:rPr>
          <w:rFonts w:ascii="Book Antiqua" w:eastAsiaTheme="minorHAnsi" w:hAnsi="Book Antiqua" w:cs="Arial"/>
        </w:rPr>
        <w:t>d</w:t>
      </w:r>
      <w:r w:rsidR="00DC58A6" w:rsidRPr="0059692A">
        <w:rPr>
          <w:rFonts w:ascii="Book Antiqua" w:eastAsiaTheme="minorHAnsi" w:hAnsi="Book Antiqua" w:cs="Arial"/>
        </w:rPr>
        <w:t xml:space="preserve"> the NTD, it cannot be liable for EWT </w:t>
      </w:r>
      <w:r w:rsidR="00332E9A" w:rsidRPr="00332E9A">
        <w:rPr>
          <w:rFonts w:ascii="Book Antiqua" w:hAnsi="Book Antiqua" w:cs="Arial"/>
        </w:rPr>
        <w:t>on its income payments to its agricultural suppliers of goods for</w:t>
      </w:r>
      <w:r w:rsidR="00332E9A" w:rsidRPr="0059692A">
        <w:rPr>
          <w:rFonts w:ascii="Book Antiqua" w:hAnsi="Book Antiqua" w:cs="Arial"/>
        </w:rPr>
        <w:t xml:space="preserve"> </w:t>
      </w:r>
      <w:r w:rsidR="00332E9A" w:rsidRPr="00332E9A">
        <w:rPr>
          <w:rFonts w:ascii="Book Antiqua" w:hAnsi="Book Antiqua" w:cs="Arial"/>
        </w:rPr>
        <w:t>TY 2</w:t>
      </w:r>
      <w:r w:rsidR="00332E9A" w:rsidRPr="0059692A">
        <w:rPr>
          <w:rFonts w:ascii="Book Antiqua" w:hAnsi="Book Antiqua" w:cs="Arial"/>
        </w:rPr>
        <w:t xml:space="preserve">006 pursuant </w:t>
      </w:r>
      <w:r w:rsidR="00482E01" w:rsidRPr="0059692A">
        <w:rPr>
          <w:rFonts w:ascii="Book Antiqua" w:hAnsi="Book Antiqua" w:cs="Arial"/>
        </w:rPr>
        <w:t>to</w:t>
      </w:r>
      <w:r w:rsidR="00332E9A" w:rsidRPr="00332E9A">
        <w:rPr>
          <w:rFonts w:ascii="Book Antiqua" w:hAnsi="Book Antiqua" w:cs="Arial"/>
        </w:rPr>
        <w:t xml:space="preserve"> Revenue Regulations (</w:t>
      </w:r>
      <w:r w:rsidR="00482E01" w:rsidRPr="0059692A">
        <w:rPr>
          <w:rFonts w:ascii="Book Antiqua" w:hAnsi="Book Antiqua" w:cs="Arial"/>
        </w:rPr>
        <w:t>“</w:t>
      </w:r>
      <w:r w:rsidR="00332E9A" w:rsidRPr="00332E9A">
        <w:rPr>
          <w:rFonts w:ascii="Book Antiqua" w:hAnsi="Book Antiqua" w:cs="Arial"/>
        </w:rPr>
        <w:t>RR</w:t>
      </w:r>
      <w:r w:rsidR="00482E01" w:rsidRPr="0059692A">
        <w:rPr>
          <w:rFonts w:ascii="Book Antiqua" w:hAnsi="Book Antiqua" w:cs="Arial"/>
        </w:rPr>
        <w:t>”</w:t>
      </w:r>
      <w:r w:rsidR="00332E9A" w:rsidRPr="00332E9A">
        <w:rPr>
          <w:rFonts w:ascii="Book Antiqua" w:hAnsi="Book Antiqua" w:cs="Arial"/>
        </w:rPr>
        <w:t>) No. 3-2004 which it claimed to have suspended the 1% withholding tax on income payments to suppliers of agricultural products</w:t>
      </w:r>
      <w:r w:rsidR="00AF302B" w:rsidRPr="0059692A">
        <w:rPr>
          <w:rFonts w:ascii="Book Antiqua" w:hAnsi="Book Antiqua" w:cs="Arial"/>
        </w:rPr>
        <w:t xml:space="preserve">; and (4) </w:t>
      </w:r>
      <w:r w:rsidR="00AF302B" w:rsidRPr="00AF302B">
        <w:rPr>
          <w:rFonts w:ascii="Book Antiqua" w:eastAsiaTheme="minorHAnsi" w:hAnsi="Book Antiqua" w:cs="Arial"/>
        </w:rPr>
        <w:t>Revenue Memorandum Circular (</w:t>
      </w:r>
      <w:r w:rsidR="00482E01" w:rsidRPr="0059692A">
        <w:rPr>
          <w:rFonts w:ascii="Book Antiqua" w:eastAsiaTheme="minorHAnsi" w:hAnsi="Book Antiqua" w:cs="Arial"/>
        </w:rPr>
        <w:t>“</w:t>
      </w:r>
      <w:r w:rsidR="00AF302B" w:rsidRPr="00AF302B">
        <w:rPr>
          <w:rFonts w:ascii="Book Antiqua" w:eastAsiaTheme="minorHAnsi" w:hAnsi="Book Antiqua" w:cs="Arial"/>
        </w:rPr>
        <w:t>RMC</w:t>
      </w:r>
      <w:r w:rsidR="00482E01" w:rsidRPr="0059692A">
        <w:rPr>
          <w:rFonts w:ascii="Book Antiqua" w:eastAsiaTheme="minorHAnsi" w:hAnsi="Book Antiqua" w:cs="Arial"/>
        </w:rPr>
        <w:t>”</w:t>
      </w:r>
      <w:r w:rsidR="00AF302B" w:rsidRPr="00AF302B">
        <w:rPr>
          <w:rFonts w:ascii="Book Antiqua" w:eastAsiaTheme="minorHAnsi" w:hAnsi="Book Antiqua" w:cs="Arial"/>
        </w:rPr>
        <w:t>) No. 44-2007 issued in July 2007</w:t>
      </w:r>
      <w:r w:rsidR="006765B4" w:rsidRPr="0059692A">
        <w:rPr>
          <w:rFonts w:ascii="Book Antiqua" w:eastAsiaTheme="minorHAnsi" w:hAnsi="Book Antiqua" w:cs="Arial"/>
        </w:rPr>
        <w:t xml:space="preserve"> </w:t>
      </w:r>
      <w:r w:rsidR="004D7960" w:rsidRPr="0059692A">
        <w:rPr>
          <w:rFonts w:ascii="Book Antiqua" w:eastAsiaTheme="minorHAnsi" w:hAnsi="Book Antiqua" w:cs="Arial"/>
        </w:rPr>
        <w:t>is merely an interpretative regulation and thus</w:t>
      </w:r>
      <w:r w:rsidR="00AF302B" w:rsidRPr="00AF302B">
        <w:rPr>
          <w:rFonts w:ascii="Book Antiqua" w:eastAsiaTheme="minorHAnsi" w:hAnsi="Book Antiqua" w:cs="Arial"/>
        </w:rPr>
        <w:t>, cannot be applied retroactively in TY 2</w:t>
      </w:r>
      <w:r w:rsidR="00482E01" w:rsidRPr="0059692A">
        <w:rPr>
          <w:rFonts w:ascii="Book Antiqua" w:eastAsiaTheme="minorHAnsi" w:hAnsi="Book Antiqua" w:cs="Arial"/>
        </w:rPr>
        <w:t>00</w:t>
      </w:r>
      <w:r w:rsidR="00AF302B" w:rsidRPr="00AF302B">
        <w:rPr>
          <w:rFonts w:ascii="Book Antiqua" w:eastAsiaTheme="minorHAnsi" w:hAnsi="Book Antiqua" w:cs="Arial"/>
        </w:rPr>
        <w:t xml:space="preserve">6. </w:t>
      </w:r>
    </w:p>
    <w:p w14:paraId="32FE61EF" w14:textId="63FFE62A" w:rsidR="00AE4234" w:rsidRPr="0059692A" w:rsidRDefault="00AE4234" w:rsidP="00AF302B">
      <w:pPr>
        <w:jc w:val="both"/>
        <w:rPr>
          <w:rFonts w:ascii="Book Antiqua" w:eastAsiaTheme="minorHAnsi" w:hAnsi="Book Antiqua" w:cs="Arial"/>
        </w:rPr>
      </w:pPr>
    </w:p>
    <w:p w14:paraId="6B2DB904" w14:textId="1D3F7F9E" w:rsidR="00AE4234" w:rsidRPr="0059692A" w:rsidRDefault="00AE4234" w:rsidP="00AF302B">
      <w:pPr>
        <w:jc w:val="both"/>
        <w:rPr>
          <w:rFonts w:ascii="Book Antiqua" w:eastAsiaTheme="minorHAnsi" w:hAnsi="Book Antiqua" w:cs="Arial"/>
        </w:rPr>
      </w:pPr>
      <w:r w:rsidRPr="0059692A">
        <w:rPr>
          <w:rFonts w:ascii="Book Antiqua" w:eastAsiaTheme="minorHAnsi" w:hAnsi="Book Antiqua" w:cs="Arial"/>
        </w:rPr>
        <w:t xml:space="preserve">The CTA ruled that the taxpayer was liable for deficiency EWT. </w:t>
      </w:r>
    </w:p>
    <w:p w14:paraId="280F9C14" w14:textId="79E37045" w:rsidR="00660F61" w:rsidRPr="0059692A" w:rsidRDefault="00660F61" w:rsidP="00AF302B">
      <w:pPr>
        <w:jc w:val="both"/>
        <w:rPr>
          <w:rFonts w:ascii="Book Antiqua" w:eastAsiaTheme="minorHAnsi" w:hAnsi="Book Antiqua" w:cs="Arial"/>
        </w:rPr>
      </w:pPr>
    </w:p>
    <w:p w14:paraId="598F4B27" w14:textId="4CE603E7" w:rsidR="00776EF9" w:rsidRPr="0059692A" w:rsidRDefault="00660F61" w:rsidP="00776EF9">
      <w:pPr>
        <w:jc w:val="both"/>
        <w:rPr>
          <w:rFonts w:ascii="Book Antiqua" w:eastAsiaTheme="minorHAnsi" w:hAnsi="Book Antiqua" w:cs="Arial"/>
        </w:rPr>
      </w:pPr>
      <w:r w:rsidRPr="0059692A">
        <w:rPr>
          <w:rFonts w:ascii="Book Antiqua" w:eastAsiaTheme="minorHAnsi" w:hAnsi="Book Antiqua" w:cs="Arial"/>
          <w:i/>
          <w:iCs/>
        </w:rPr>
        <w:t>Fi</w:t>
      </w:r>
      <w:r w:rsidR="001A4A0F">
        <w:rPr>
          <w:rFonts w:ascii="Book Antiqua" w:eastAsiaTheme="minorHAnsi" w:hAnsi="Book Antiqua" w:cs="Arial"/>
          <w:i/>
          <w:iCs/>
        </w:rPr>
        <w:t>r</w:t>
      </w:r>
      <w:r w:rsidRPr="0059692A">
        <w:rPr>
          <w:rFonts w:ascii="Book Antiqua" w:eastAsiaTheme="minorHAnsi" w:hAnsi="Book Antiqua" w:cs="Arial"/>
          <w:i/>
          <w:iCs/>
        </w:rPr>
        <w:t xml:space="preserve">st, </w:t>
      </w:r>
      <w:r w:rsidR="00BA65E0" w:rsidRPr="0059692A">
        <w:rPr>
          <w:rFonts w:ascii="Book Antiqua" w:eastAsiaTheme="minorHAnsi" w:hAnsi="Book Antiqua" w:cs="Arial"/>
        </w:rPr>
        <w:t>a perusal</w:t>
      </w:r>
      <w:r w:rsidR="001A4A0F">
        <w:rPr>
          <w:rFonts w:ascii="Book Antiqua" w:eastAsiaTheme="minorHAnsi" w:hAnsi="Book Antiqua" w:cs="Arial"/>
        </w:rPr>
        <w:t xml:space="preserve"> of </w:t>
      </w:r>
      <w:proofErr w:type="gramStart"/>
      <w:r w:rsidR="001A4A0F">
        <w:rPr>
          <w:rFonts w:ascii="Book Antiqua" w:eastAsiaTheme="minorHAnsi" w:hAnsi="Book Antiqua" w:cs="Arial"/>
        </w:rPr>
        <w:t xml:space="preserve">the </w:t>
      </w:r>
      <w:r w:rsidR="00BA65E0" w:rsidRPr="0059692A">
        <w:rPr>
          <w:rFonts w:ascii="Book Antiqua" w:eastAsiaTheme="minorHAnsi" w:hAnsi="Book Antiqua" w:cs="Arial"/>
        </w:rPr>
        <w:t xml:space="preserve"> LOA</w:t>
      </w:r>
      <w:proofErr w:type="gramEnd"/>
      <w:r w:rsidR="00BA65E0" w:rsidRPr="0059692A">
        <w:rPr>
          <w:rFonts w:ascii="Book Antiqua" w:eastAsiaTheme="minorHAnsi" w:hAnsi="Book Antiqua" w:cs="Arial"/>
        </w:rPr>
        <w:t xml:space="preserve"> would show that it is compliant with all of the jurisprudential requisites. </w:t>
      </w:r>
      <w:r w:rsidR="00A534BE" w:rsidRPr="00A534BE">
        <w:rPr>
          <w:rFonts w:ascii="Book Antiqua" w:eastAsiaTheme="minorHAnsi" w:hAnsi="Book Antiqua" w:cs="Arial"/>
        </w:rPr>
        <w:t xml:space="preserve">Nowhere </w:t>
      </w:r>
      <w:r w:rsidR="00A534BE" w:rsidRPr="0059692A">
        <w:rPr>
          <w:rFonts w:ascii="Book Antiqua" w:eastAsiaTheme="minorHAnsi" w:hAnsi="Book Antiqua" w:cs="Arial"/>
        </w:rPr>
        <w:t>in BIR’s issuances</w:t>
      </w:r>
      <w:r w:rsidR="00A534BE" w:rsidRPr="00A534BE">
        <w:rPr>
          <w:rFonts w:ascii="Book Antiqua" w:eastAsiaTheme="minorHAnsi" w:hAnsi="Book Antiqua" w:cs="Arial"/>
        </w:rPr>
        <w:t xml:space="preserve"> and in existing jurisprudence is there any mention of a requirement that the LOA must bear a dry seal to be valid. </w:t>
      </w:r>
      <w:r w:rsidR="00960320" w:rsidRPr="0059692A">
        <w:rPr>
          <w:rFonts w:ascii="Book Antiqua" w:eastAsiaTheme="minorHAnsi" w:hAnsi="Book Antiqua" w:cs="Arial"/>
        </w:rPr>
        <w:t xml:space="preserve">Further, </w:t>
      </w:r>
      <w:r w:rsidR="00FB69D9" w:rsidRPr="0059692A">
        <w:rPr>
          <w:rFonts w:ascii="Book Antiqua" w:eastAsiaTheme="minorHAnsi" w:hAnsi="Book Antiqua" w:cs="Arial"/>
        </w:rPr>
        <w:t xml:space="preserve">although the LOA itself states that it shall not be valid if the dry seal of the BIR is not present, </w:t>
      </w:r>
      <w:proofErr w:type="gramStart"/>
      <w:r w:rsidR="00FB69D9" w:rsidRPr="00FB69D9">
        <w:rPr>
          <w:rFonts w:ascii="Book Antiqua" w:eastAsiaTheme="minorHAnsi" w:hAnsi="Book Antiqua" w:cs="Arial"/>
        </w:rPr>
        <w:t xml:space="preserve">it </w:t>
      </w:r>
      <w:r w:rsidR="000C1DB1" w:rsidRPr="0059692A">
        <w:rPr>
          <w:rFonts w:ascii="Book Antiqua" w:eastAsiaTheme="minorHAnsi" w:hAnsi="Book Antiqua" w:cs="Arial"/>
        </w:rPr>
        <w:t>is clear</w:t>
      </w:r>
      <w:r w:rsidR="00FB69D9" w:rsidRPr="00FB69D9">
        <w:rPr>
          <w:rFonts w:ascii="Book Antiqua" w:eastAsiaTheme="minorHAnsi" w:hAnsi="Book Antiqua" w:cs="Arial"/>
        </w:rPr>
        <w:t xml:space="preserve"> that the</w:t>
      </w:r>
      <w:proofErr w:type="gramEnd"/>
      <w:r w:rsidR="00FB69D9" w:rsidRPr="00FB69D9">
        <w:rPr>
          <w:rFonts w:ascii="Book Antiqua" w:eastAsiaTheme="minorHAnsi" w:hAnsi="Book Antiqua" w:cs="Arial"/>
        </w:rPr>
        <w:t xml:space="preserve"> R</w:t>
      </w:r>
      <w:r w:rsidR="00E71391" w:rsidRPr="0059692A">
        <w:rPr>
          <w:rFonts w:ascii="Book Antiqua" w:eastAsiaTheme="minorHAnsi" w:hAnsi="Book Antiqua" w:cs="Arial"/>
        </w:rPr>
        <w:t>egional Director (“RD”)</w:t>
      </w:r>
      <w:r w:rsidR="00FB69D9" w:rsidRPr="00FB69D9">
        <w:rPr>
          <w:rFonts w:ascii="Book Antiqua" w:eastAsiaTheme="minorHAnsi" w:hAnsi="Book Antiqua" w:cs="Arial"/>
        </w:rPr>
        <w:t xml:space="preserve"> himself had signed it</w:t>
      </w:r>
      <w:r w:rsidR="00FB69D9" w:rsidRPr="0059692A">
        <w:rPr>
          <w:rFonts w:ascii="Book Antiqua" w:eastAsiaTheme="minorHAnsi" w:hAnsi="Book Antiqua" w:cs="Arial"/>
        </w:rPr>
        <w:t xml:space="preserve">. </w:t>
      </w:r>
      <w:r w:rsidR="00776EF9" w:rsidRPr="00776EF9">
        <w:rPr>
          <w:rFonts w:ascii="Book Antiqua" w:eastAsiaTheme="minorHAnsi" w:hAnsi="Book Antiqua" w:cs="Arial"/>
        </w:rPr>
        <w:t xml:space="preserve">Assuming for the sake of argument that the BIR's dry seal is salient in the LOA's validity, the </w:t>
      </w:r>
      <w:r w:rsidR="00E71391" w:rsidRPr="0059692A">
        <w:rPr>
          <w:rFonts w:ascii="Book Antiqua" w:eastAsiaTheme="minorHAnsi" w:hAnsi="Book Antiqua" w:cs="Arial"/>
        </w:rPr>
        <w:t>CTA held</w:t>
      </w:r>
      <w:r w:rsidR="00776EF9" w:rsidRPr="00776EF9">
        <w:rPr>
          <w:rFonts w:ascii="Book Antiqua" w:eastAsiaTheme="minorHAnsi" w:hAnsi="Book Antiqua" w:cs="Arial"/>
        </w:rPr>
        <w:t xml:space="preserve"> that the BIR's seal conspicuously printed and placed beside the RD' s signature is sufficient</w:t>
      </w:r>
      <w:r w:rsidR="000C1DB1" w:rsidRPr="0059692A">
        <w:rPr>
          <w:rFonts w:ascii="Book Antiqua" w:eastAsiaTheme="minorHAnsi" w:hAnsi="Book Antiqua" w:cs="Arial"/>
        </w:rPr>
        <w:t xml:space="preserve">. </w:t>
      </w:r>
      <w:r w:rsidR="00776EF9" w:rsidRPr="00776EF9">
        <w:rPr>
          <w:rFonts w:ascii="Book Antiqua" w:eastAsiaTheme="minorHAnsi" w:hAnsi="Book Antiqua" w:cs="Arial"/>
        </w:rPr>
        <w:t xml:space="preserve"> </w:t>
      </w:r>
    </w:p>
    <w:p w14:paraId="165CEDB7" w14:textId="06182FF8" w:rsidR="00EB3F12" w:rsidRPr="0059692A" w:rsidRDefault="00EB3F12" w:rsidP="00776EF9">
      <w:pPr>
        <w:jc w:val="both"/>
        <w:rPr>
          <w:rFonts w:ascii="Book Antiqua" w:eastAsiaTheme="minorHAnsi" w:hAnsi="Book Antiqua" w:cs="Arial"/>
        </w:rPr>
      </w:pPr>
    </w:p>
    <w:p w14:paraId="6CBB2804" w14:textId="423C8E28" w:rsidR="00F7736C" w:rsidRPr="0059692A" w:rsidRDefault="00EB3F12" w:rsidP="00F7736C">
      <w:pPr>
        <w:jc w:val="both"/>
        <w:rPr>
          <w:rFonts w:ascii="Book Antiqua" w:eastAsiaTheme="minorHAnsi" w:hAnsi="Book Antiqua" w:cs="Arial"/>
        </w:rPr>
      </w:pPr>
      <w:r w:rsidRPr="0059692A">
        <w:rPr>
          <w:rFonts w:ascii="Book Antiqua" w:eastAsiaTheme="minorHAnsi" w:hAnsi="Book Antiqua" w:cs="Arial"/>
          <w:i/>
          <w:iCs/>
        </w:rPr>
        <w:t>Second,</w:t>
      </w:r>
      <w:r w:rsidR="00F27A1C" w:rsidRPr="0059692A">
        <w:rPr>
          <w:rFonts w:ascii="Book Antiqua" w:eastAsiaTheme="minorHAnsi" w:hAnsi="Book Antiqua" w:cs="Arial"/>
          <w:i/>
          <w:iCs/>
        </w:rPr>
        <w:t xml:space="preserve"> </w:t>
      </w:r>
      <w:r w:rsidR="00F27A1C" w:rsidRPr="0059692A">
        <w:rPr>
          <w:rFonts w:ascii="Book Antiqua" w:eastAsiaTheme="minorHAnsi" w:hAnsi="Book Antiqua" w:cs="Arial"/>
        </w:rPr>
        <w:t>p</w:t>
      </w:r>
      <w:r w:rsidR="00D129A0" w:rsidRPr="0059692A">
        <w:rPr>
          <w:rFonts w:ascii="Book Antiqua" w:eastAsiaTheme="minorHAnsi" w:hAnsi="Book Antiqua" w:cs="Arial"/>
        </w:rPr>
        <w:t xml:space="preserve">etitioner cannot argue </w:t>
      </w:r>
      <w:r w:rsidR="00916B33" w:rsidRPr="0059692A">
        <w:rPr>
          <w:rFonts w:ascii="Book Antiqua" w:eastAsiaTheme="minorHAnsi" w:hAnsi="Book Antiqua" w:cs="Arial"/>
        </w:rPr>
        <w:t>that the person who received the NTD lacked authority to receive the same</w:t>
      </w:r>
      <w:r w:rsidR="00404DA6" w:rsidRPr="0059692A">
        <w:rPr>
          <w:rFonts w:ascii="Book Antiqua" w:eastAsiaTheme="minorHAnsi" w:hAnsi="Book Antiqua" w:cs="Arial"/>
        </w:rPr>
        <w:t xml:space="preserve"> pursuant to the Rules of Court as these only applies to </w:t>
      </w:r>
      <w:r w:rsidR="008B14A3" w:rsidRPr="0059692A">
        <w:rPr>
          <w:rFonts w:ascii="Book Antiqua" w:eastAsiaTheme="minorHAnsi" w:hAnsi="Book Antiqua" w:cs="Arial"/>
        </w:rPr>
        <w:t xml:space="preserve">service of summons by the courts.  </w:t>
      </w:r>
      <w:r w:rsidR="008B14A3" w:rsidRPr="008B14A3">
        <w:rPr>
          <w:rFonts w:ascii="Book Antiqua" w:eastAsiaTheme="minorHAnsi" w:hAnsi="Book Antiqua" w:cs="Arial"/>
        </w:rPr>
        <w:t xml:space="preserve">Moreover, not once did petitioner allege in its protest or in its appeal </w:t>
      </w:r>
      <w:r w:rsidR="00F27A1C" w:rsidRPr="0059692A">
        <w:rPr>
          <w:rFonts w:ascii="Book Antiqua" w:eastAsiaTheme="minorHAnsi" w:hAnsi="Book Antiqua" w:cs="Arial"/>
        </w:rPr>
        <w:t>that</w:t>
      </w:r>
      <w:r w:rsidR="008B14A3" w:rsidRPr="008B14A3">
        <w:rPr>
          <w:rFonts w:ascii="Book Antiqua" w:eastAsiaTheme="minorHAnsi" w:hAnsi="Book Antiqua" w:cs="Arial"/>
        </w:rPr>
        <w:t xml:space="preserve"> </w:t>
      </w:r>
      <w:proofErr w:type="spellStart"/>
      <w:r w:rsidR="008B14A3" w:rsidRPr="008B14A3">
        <w:rPr>
          <w:rFonts w:ascii="Book Antiqua" w:eastAsiaTheme="minorHAnsi" w:hAnsi="Book Antiqua" w:cs="Arial"/>
        </w:rPr>
        <w:t>Bullahan</w:t>
      </w:r>
      <w:proofErr w:type="spellEnd"/>
      <w:r w:rsidR="008B14A3" w:rsidRPr="008B14A3">
        <w:rPr>
          <w:rFonts w:ascii="Book Antiqua" w:eastAsiaTheme="minorHAnsi" w:hAnsi="Book Antiqua" w:cs="Arial"/>
        </w:rPr>
        <w:t xml:space="preserve"> did not inform its management of the said notice. Petitioner merely disputes </w:t>
      </w:r>
      <w:proofErr w:type="spellStart"/>
      <w:r w:rsidR="008B14A3" w:rsidRPr="008B14A3">
        <w:rPr>
          <w:rFonts w:ascii="Book Antiqua" w:eastAsiaTheme="minorHAnsi" w:hAnsi="Book Antiqua" w:cs="Arial"/>
        </w:rPr>
        <w:t>Bullahan's</w:t>
      </w:r>
      <w:proofErr w:type="spellEnd"/>
      <w:r w:rsidR="008B14A3" w:rsidRPr="008B14A3">
        <w:rPr>
          <w:rFonts w:ascii="Book Antiqua" w:eastAsiaTheme="minorHAnsi" w:hAnsi="Book Antiqua" w:cs="Arial"/>
        </w:rPr>
        <w:t xml:space="preserve"> authority to receive such notices</w:t>
      </w:r>
      <w:r w:rsidR="009E2902" w:rsidRPr="0059692A">
        <w:rPr>
          <w:rFonts w:ascii="Book Antiqua" w:eastAsiaTheme="minorHAnsi" w:hAnsi="Book Antiqua" w:cs="Arial"/>
        </w:rPr>
        <w:t>. Thus</w:t>
      </w:r>
      <w:r w:rsidR="009E2902" w:rsidRPr="009E2902">
        <w:rPr>
          <w:rFonts w:ascii="Book Antiqua" w:eastAsiaTheme="minorHAnsi" w:hAnsi="Book Antiqua" w:cs="Arial"/>
        </w:rPr>
        <w:t>, it may be presumed that a letter duly sent by the BIR to the taxpayer is received by the latter in the ordinary course of mail</w:t>
      </w:r>
      <w:r w:rsidR="008877CB" w:rsidRPr="0059692A">
        <w:rPr>
          <w:rFonts w:ascii="Book Antiqua" w:eastAsiaTheme="minorHAnsi" w:hAnsi="Book Antiqua" w:cs="Arial"/>
        </w:rPr>
        <w:t xml:space="preserve">. </w:t>
      </w:r>
      <w:r w:rsidR="00F7736C" w:rsidRPr="00F7736C">
        <w:rPr>
          <w:rFonts w:ascii="Book Antiqua" w:eastAsiaTheme="minorHAnsi" w:hAnsi="Book Antiqua" w:cs="Arial"/>
        </w:rPr>
        <w:t xml:space="preserve"> </w:t>
      </w:r>
    </w:p>
    <w:p w14:paraId="11A2D8FE" w14:textId="2F6B3588" w:rsidR="00197173" w:rsidRPr="0059692A" w:rsidRDefault="00197173" w:rsidP="00F7736C">
      <w:pPr>
        <w:jc w:val="both"/>
        <w:rPr>
          <w:rFonts w:ascii="Book Antiqua" w:eastAsiaTheme="minorHAnsi" w:hAnsi="Book Antiqua" w:cs="Arial"/>
        </w:rPr>
      </w:pPr>
    </w:p>
    <w:p w14:paraId="4AF771BB" w14:textId="0E5ABE9C" w:rsidR="00A5112D" w:rsidRPr="0059692A" w:rsidRDefault="00197173" w:rsidP="00A5112D">
      <w:pPr>
        <w:jc w:val="both"/>
        <w:rPr>
          <w:rFonts w:ascii="Book Antiqua" w:eastAsiaTheme="minorHAnsi" w:hAnsi="Book Antiqua" w:cs="Arial"/>
        </w:rPr>
      </w:pPr>
      <w:r w:rsidRPr="0059692A">
        <w:rPr>
          <w:rFonts w:ascii="Book Antiqua" w:eastAsiaTheme="minorHAnsi" w:hAnsi="Book Antiqua" w:cs="Arial"/>
          <w:i/>
          <w:iCs/>
        </w:rPr>
        <w:t xml:space="preserve">Third, </w:t>
      </w:r>
      <w:r w:rsidRPr="0059692A">
        <w:rPr>
          <w:rFonts w:ascii="Book Antiqua" w:eastAsiaTheme="minorHAnsi" w:hAnsi="Book Antiqua" w:cs="Arial"/>
        </w:rPr>
        <w:t>petitioner is obliged to withhold as a duly notified top 10,000 private corporation.</w:t>
      </w:r>
      <w:r w:rsidR="00A5112D" w:rsidRPr="0059692A">
        <w:rPr>
          <w:rFonts w:ascii="Book Antiqua" w:eastAsiaTheme="minorHAnsi" w:hAnsi="Book Antiqua" w:cs="Arial"/>
        </w:rPr>
        <w:t xml:space="preserve"> </w:t>
      </w:r>
      <w:r w:rsidR="00A5112D" w:rsidRPr="00A5112D">
        <w:rPr>
          <w:rFonts w:ascii="Book Antiqua" w:eastAsiaTheme="minorHAnsi" w:hAnsi="Book Antiqua" w:cs="Arial"/>
        </w:rPr>
        <w:t xml:space="preserve">As it stands, RR 3-2004 rendered temporarily inoperative Section 2.57.2(S) of RR 2-98, as amended. In herein case, considering that petitioner is engaged in the business of selling fertilizer /feeds products, </w:t>
      </w:r>
      <w:r w:rsidR="00A5112D" w:rsidRPr="00A5112D">
        <w:rPr>
          <w:rFonts w:ascii="Book Antiqua" w:eastAsiaTheme="minorHAnsi" w:hAnsi="Book Antiqua" w:cs="Arial"/>
          <w:i/>
          <w:iCs/>
        </w:rPr>
        <w:t>prior to the effectivity of RR 3-2004</w:t>
      </w:r>
      <w:r w:rsidR="00A5112D" w:rsidRPr="00A5112D">
        <w:rPr>
          <w:rFonts w:ascii="Book Antiqua" w:eastAsiaTheme="minorHAnsi" w:hAnsi="Book Antiqua" w:cs="Arial"/>
        </w:rPr>
        <w:t xml:space="preserve">, its payments to regular agricultural suppliers fall under Section 2.57.2(S) of RR 2-98, as amended, and are subject to 1% EWT. </w:t>
      </w:r>
    </w:p>
    <w:p w14:paraId="4A4F259D" w14:textId="5962C1B0" w:rsidR="00060AA1" w:rsidRPr="0059692A" w:rsidRDefault="00060AA1" w:rsidP="00A5112D">
      <w:pPr>
        <w:jc w:val="both"/>
        <w:rPr>
          <w:rFonts w:ascii="Book Antiqua" w:eastAsiaTheme="minorHAnsi" w:hAnsi="Book Antiqua" w:cs="Arial"/>
        </w:rPr>
      </w:pPr>
    </w:p>
    <w:p w14:paraId="0E389132" w14:textId="7515FE05" w:rsidR="003E14BC" w:rsidRPr="003E14BC" w:rsidRDefault="00060AA1" w:rsidP="003E14BC">
      <w:pPr>
        <w:jc w:val="both"/>
        <w:rPr>
          <w:rFonts w:ascii="Book Antiqua" w:eastAsiaTheme="minorHAnsi" w:hAnsi="Book Antiqua" w:cs="Arial"/>
        </w:rPr>
      </w:pPr>
      <w:r w:rsidRPr="0059692A">
        <w:rPr>
          <w:rFonts w:ascii="Book Antiqua" w:eastAsiaTheme="minorHAnsi" w:hAnsi="Book Antiqua" w:cs="Arial"/>
          <w:i/>
          <w:iCs/>
        </w:rPr>
        <w:t xml:space="preserve">Fourth, </w:t>
      </w:r>
      <w:r w:rsidRPr="0059692A">
        <w:rPr>
          <w:rFonts w:ascii="Book Antiqua" w:eastAsiaTheme="minorHAnsi" w:hAnsi="Book Antiqua" w:cs="Arial"/>
        </w:rPr>
        <w:t>RMC 44-2007</w:t>
      </w:r>
      <w:r w:rsidR="007D4BA4" w:rsidRPr="0059692A">
        <w:rPr>
          <w:rFonts w:ascii="Book Antiqua" w:eastAsiaTheme="minorHAnsi" w:hAnsi="Book Antiqua" w:cs="Arial"/>
        </w:rPr>
        <w:t xml:space="preserve"> is not merely an interpretative regulation. </w:t>
      </w:r>
      <w:r w:rsidR="00E334B2" w:rsidRPr="00E334B2">
        <w:rPr>
          <w:rFonts w:ascii="Book Antiqua" w:eastAsiaTheme="minorHAnsi" w:hAnsi="Book Antiqua" w:cs="Arial"/>
        </w:rPr>
        <w:t>A careful perusal of RMC 44-2007 would show that the circular merely reiterates and clarifies the effect of RR 3-2004, i</w:t>
      </w:r>
      <w:r w:rsidR="00E334B2" w:rsidRPr="00E334B2">
        <w:rPr>
          <w:rFonts w:ascii="Book Antiqua" w:eastAsiaTheme="minorHAnsi" w:hAnsi="Book Antiqua" w:cs="Arial"/>
          <w:i/>
          <w:iCs/>
        </w:rPr>
        <w:t>.e.,</w:t>
      </w:r>
      <w:r w:rsidR="00E334B2" w:rsidRPr="00E334B2">
        <w:rPr>
          <w:rFonts w:ascii="Book Antiqua" w:eastAsiaTheme="minorHAnsi" w:hAnsi="Book Antiqua" w:cs="Arial"/>
        </w:rPr>
        <w:t xml:space="preserve"> the suspension of the implementation of Section 2.57.2(S) </w:t>
      </w:r>
      <w:proofErr w:type="spellStart"/>
      <w:r w:rsidR="00E334B2" w:rsidRPr="00E334B2">
        <w:rPr>
          <w:rFonts w:ascii="Book Antiqua" w:eastAsiaTheme="minorHAnsi" w:hAnsi="Book Antiqua" w:cs="Arial"/>
        </w:rPr>
        <w:t>ofRR</w:t>
      </w:r>
      <w:proofErr w:type="spellEnd"/>
      <w:r w:rsidR="00E334B2" w:rsidRPr="00E334B2">
        <w:rPr>
          <w:rFonts w:ascii="Book Antiqua" w:eastAsiaTheme="minorHAnsi" w:hAnsi="Book Antiqua" w:cs="Arial"/>
        </w:rPr>
        <w:t xml:space="preserve"> 2-98, as amended.</w:t>
      </w:r>
      <w:r w:rsidR="003E14BC" w:rsidRPr="0059692A">
        <w:rPr>
          <w:rFonts w:ascii="Book Antiqua" w:eastAsiaTheme="minorHAnsi" w:hAnsi="Book Antiqua" w:cs="Arial"/>
        </w:rPr>
        <w:t xml:space="preserve"> </w:t>
      </w:r>
      <w:r w:rsidR="003E14BC" w:rsidRPr="003E14BC">
        <w:rPr>
          <w:rFonts w:ascii="Book Antiqua" w:eastAsiaTheme="minorHAnsi" w:hAnsi="Book Antiqua" w:cs="Arial"/>
        </w:rPr>
        <w:t xml:space="preserve">Clearly, when an administrative agency renders an opinion by means of a circular or memorandum, it merely interprets a preexisting law. RMC 44-2007, therefore, was issued merely to construe the existing provisions of the NIRC of 1997, as amended, in relation to the various types of withholding tax at source. The Circular was not issued </w:t>
      </w:r>
      <w:r w:rsidR="003E14BC" w:rsidRPr="003E14BC">
        <w:rPr>
          <w:rFonts w:ascii="Book Antiqua" w:eastAsiaTheme="minorHAnsi" w:hAnsi="Book Antiqua" w:cs="Arial"/>
        </w:rPr>
        <w:lastRenderedPageBreak/>
        <w:t>or intended to impose additional tax burdens not otherwise found in the law nor in existing regulations.</w:t>
      </w:r>
    </w:p>
    <w:p w14:paraId="2AE294C3" w14:textId="323AB757" w:rsidR="003E14BC" w:rsidRPr="0059692A" w:rsidRDefault="003E14BC" w:rsidP="00E334B2">
      <w:pPr>
        <w:jc w:val="both"/>
        <w:rPr>
          <w:rFonts w:ascii="Book Antiqua" w:eastAsiaTheme="minorHAnsi" w:hAnsi="Book Antiqua" w:cs="Arial"/>
        </w:rPr>
      </w:pPr>
    </w:p>
    <w:p w14:paraId="11985C5A" w14:textId="77777777" w:rsidR="00E814E1" w:rsidRPr="00E334B2" w:rsidRDefault="00E814E1" w:rsidP="00E334B2">
      <w:pPr>
        <w:jc w:val="both"/>
        <w:rPr>
          <w:rFonts w:ascii="Book Antiqua" w:eastAsiaTheme="minorHAnsi" w:hAnsi="Book Antiqua" w:cs="Arial"/>
        </w:rPr>
      </w:pPr>
    </w:p>
    <w:p w14:paraId="458B4971" w14:textId="7AF1A65D" w:rsidR="00E814E1" w:rsidRPr="0059692A" w:rsidRDefault="00E814E1" w:rsidP="00E814E1">
      <w:pPr>
        <w:jc w:val="both"/>
        <w:rPr>
          <w:rFonts w:ascii="Book Antiqua" w:hAnsi="Book Antiqua" w:cs="Arial"/>
          <w:b/>
          <w:bCs/>
          <w:lang w:val="en-US"/>
        </w:rPr>
      </w:pPr>
      <w:r w:rsidRPr="0059692A">
        <w:rPr>
          <w:rFonts w:ascii="Book Antiqua" w:hAnsi="Book Antiqua" w:cs="Arial"/>
          <w:b/>
          <w:bCs/>
          <w:lang w:val="en-US"/>
        </w:rPr>
        <w:t>MEDICAL CENTER TRADI</w:t>
      </w:r>
      <w:r w:rsidR="001A4A0F">
        <w:rPr>
          <w:rFonts w:ascii="Book Antiqua" w:hAnsi="Book Antiqua" w:cs="Arial"/>
          <w:b/>
          <w:bCs/>
          <w:lang w:val="en-US"/>
        </w:rPr>
        <w:t>NG</w:t>
      </w:r>
      <w:r w:rsidRPr="0059692A">
        <w:rPr>
          <w:rFonts w:ascii="Book Antiqua" w:hAnsi="Book Antiqua" w:cs="Arial"/>
          <w:b/>
          <w:bCs/>
          <w:lang w:val="en-US"/>
        </w:rPr>
        <w:t xml:space="preserve"> CORPORATION V. COMMISSIONER OF INTERNAL REVENUE. CTA CASE NO. 9412. MARCH 22, 2021 </w:t>
      </w:r>
    </w:p>
    <w:p w14:paraId="5813DE09" w14:textId="0D39F356" w:rsidR="00AC284A" w:rsidRPr="0059692A" w:rsidRDefault="00AC284A" w:rsidP="00E814E1">
      <w:pPr>
        <w:jc w:val="both"/>
        <w:rPr>
          <w:rFonts w:ascii="Book Antiqua" w:hAnsi="Book Antiqua" w:cs="Arial"/>
          <w:b/>
          <w:bCs/>
          <w:lang w:val="en-US"/>
        </w:rPr>
      </w:pPr>
    </w:p>
    <w:p w14:paraId="0338EB95" w14:textId="124FFB2C" w:rsidR="00AC284A" w:rsidRPr="0059692A" w:rsidRDefault="004F43A3" w:rsidP="00E814E1">
      <w:pPr>
        <w:jc w:val="both"/>
        <w:rPr>
          <w:rFonts w:ascii="Book Antiqua" w:hAnsi="Book Antiqua" w:cs="Arial"/>
          <w:lang w:val="en-US"/>
        </w:rPr>
      </w:pPr>
      <w:r w:rsidRPr="0059692A">
        <w:rPr>
          <w:rFonts w:ascii="Book Antiqua" w:hAnsi="Book Antiqua" w:cs="Arial"/>
          <w:lang w:val="en-US"/>
        </w:rPr>
        <w:t>Respondent Commissioner of Internal Revenue (“CIR”) filed a Motion for Reconsideration</w:t>
      </w:r>
      <w:r w:rsidR="00683118" w:rsidRPr="0059692A">
        <w:rPr>
          <w:rFonts w:ascii="Book Antiqua" w:hAnsi="Book Antiqua" w:cs="Arial"/>
          <w:lang w:val="en-US"/>
        </w:rPr>
        <w:t xml:space="preserve"> (“MFR”)</w:t>
      </w:r>
      <w:r w:rsidRPr="0059692A">
        <w:rPr>
          <w:rFonts w:ascii="Book Antiqua" w:hAnsi="Book Antiqua" w:cs="Arial"/>
          <w:lang w:val="en-US"/>
        </w:rPr>
        <w:t xml:space="preserve"> </w:t>
      </w:r>
      <w:r w:rsidR="00D97E5A" w:rsidRPr="0059692A">
        <w:rPr>
          <w:rFonts w:ascii="Book Antiqua" w:hAnsi="Book Antiqua" w:cs="Arial"/>
          <w:lang w:val="en-US"/>
        </w:rPr>
        <w:t xml:space="preserve">questioning the CTA’s earlier decision cancelling </w:t>
      </w:r>
      <w:r w:rsidR="00C618DE" w:rsidRPr="0059692A">
        <w:rPr>
          <w:rFonts w:ascii="Book Antiqua" w:hAnsi="Book Antiqua" w:cs="Arial"/>
          <w:lang w:val="en-US"/>
        </w:rPr>
        <w:t>petitioner’s</w:t>
      </w:r>
      <w:r w:rsidR="00D97E5A" w:rsidRPr="0059692A">
        <w:rPr>
          <w:rFonts w:ascii="Book Antiqua" w:hAnsi="Book Antiqua" w:cs="Arial"/>
          <w:lang w:val="en-US"/>
        </w:rPr>
        <w:t xml:space="preserve"> deficiency taxes </w:t>
      </w:r>
      <w:r w:rsidR="00CD5D4A" w:rsidRPr="0059692A">
        <w:rPr>
          <w:rFonts w:ascii="Book Antiqua" w:hAnsi="Book Antiqua" w:cs="Arial"/>
          <w:lang w:val="en-US"/>
        </w:rPr>
        <w:t xml:space="preserve">for taxable year ended December 31, 2009. </w:t>
      </w:r>
    </w:p>
    <w:p w14:paraId="37A51B64" w14:textId="54189B20" w:rsidR="00CD5D4A" w:rsidRPr="0059692A" w:rsidRDefault="00CD5D4A" w:rsidP="00E814E1">
      <w:pPr>
        <w:jc w:val="both"/>
        <w:rPr>
          <w:rFonts w:ascii="Book Antiqua" w:hAnsi="Book Antiqua" w:cs="Arial"/>
          <w:lang w:val="en-US"/>
        </w:rPr>
      </w:pPr>
    </w:p>
    <w:p w14:paraId="0508CBC6" w14:textId="77116816" w:rsidR="005C186E" w:rsidRPr="0059692A" w:rsidRDefault="00CD5D4A" w:rsidP="00E814E1">
      <w:pPr>
        <w:jc w:val="both"/>
        <w:rPr>
          <w:rFonts w:ascii="Book Antiqua" w:hAnsi="Book Antiqua" w:cs="Arial"/>
          <w:lang w:val="en-US"/>
        </w:rPr>
      </w:pPr>
      <w:r w:rsidRPr="0059692A">
        <w:rPr>
          <w:rFonts w:ascii="Book Antiqua" w:hAnsi="Book Antiqua" w:cs="Arial"/>
          <w:lang w:val="en-US"/>
        </w:rPr>
        <w:t xml:space="preserve">CIR argued that the CTA erred in ruling that (a) the assessments were issued beyond the period to </w:t>
      </w:r>
      <w:r w:rsidR="00EC25E8" w:rsidRPr="0059692A">
        <w:rPr>
          <w:rFonts w:ascii="Book Antiqua" w:hAnsi="Book Antiqua" w:cs="Arial"/>
          <w:lang w:val="en-US"/>
        </w:rPr>
        <w:t>assess</w:t>
      </w:r>
      <w:r w:rsidRPr="0059692A">
        <w:rPr>
          <w:rFonts w:ascii="Book Antiqua" w:hAnsi="Book Antiqua" w:cs="Arial"/>
          <w:lang w:val="en-US"/>
        </w:rPr>
        <w:t xml:space="preserve">; (b) the absence of an </w:t>
      </w:r>
      <w:proofErr w:type="spellStart"/>
      <w:r w:rsidRPr="0059692A">
        <w:rPr>
          <w:rFonts w:ascii="Book Antiqua" w:hAnsi="Book Antiqua" w:cs="Arial"/>
          <w:lang w:val="en-US"/>
        </w:rPr>
        <w:t>eLOA</w:t>
      </w:r>
      <w:proofErr w:type="spellEnd"/>
      <w:r w:rsidRPr="0059692A">
        <w:rPr>
          <w:rFonts w:ascii="Book Antiqua" w:hAnsi="Book Antiqua" w:cs="Arial"/>
          <w:lang w:val="en-US"/>
        </w:rPr>
        <w:t xml:space="preserve"> in the present case invalidates the tax assessments; and (c) assessments are void du</w:t>
      </w:r>
      <w:r w:rsidR="008278AD" w:rsidRPr="0059692A">
        <w:rPr>
          <w:rFonts w:ascii="Book Antiqua" w:hAnsi="Book Antiqua" w:cs="Arial"/>
          <w:lang w:val="en-US"/>
        </w:rPr>
        <w:t xml:space="preserve">e to the alleged absence of definite tax liability and due date in the Formal Letter of </w:t>
      </w:r>
      <w:r w:rsidR="00EC25E8" w:rsidRPr="0059692A">
        <w:rPr>
          <w:rFonts w:ascii="Book Antiqua" w:hAnsi="Book Antiqua" w:cs="Arial"/>
          <w:lang w:val="en-US"/>
        </w:rPr>
        <w:t>Demand (</w:t>
      </w:r>
      <w:r w:rsidR="008278AD" w:rsidRPr="0059692A">
        <w:rPr>
          <w:rFonts w:ascii="Book Antiqua" w:hAnsi="Book Antiqua" w:cs="Arial"/>
          <w:lang w:val="en-US"/>
        </w:rPr>
        <w:t xml:space="preserve">“FLD”) and Final Assessment Notice (“FAN”). </w:t>
      </w:r>
    </w:p>
    <w:p w14:paraId="2AF6C6BB" w14:textId="77777777" w:rsidR="005C186E" w:rsidRPr="0059692A" w:rsidRDefault="005C186E" w:rsidP="00E814E1">
      <w:pPr>
        <w:jc w:val="both"/>
        <w:rPr>
          <w:rFonts w:ascii="Book Antiqua" w:hAnsi="Book Antiqua" w:cs="Arial"/>
          <w:lang w:val="en-US"/>
        </w:rPr>
      </w:pPr>
    </w:p>
    <w:p w14:paraId="4F04059F" w14:textId="7B41B822" w:rsidR="00CD5D4A" w:rsidRPr="0059692A" w:rsidRDefault="005C186E" w:rsidP="00E814E1">
      <w:pPr>
        <w:jc w:val="both"/>
        <w:rPr>
          <w:rFonts w:ascii="Book Antiqua" w:hAnsi="Book Antiqua" w:cs="Arial"/>
          <w:lang w:val="en-US"/>
        </w:rPr>
      </w:pPr>
      <w:r w:rsidRPr="0059692A">
        <w:rPr>
          <w:rFonts w:ascii="Book Antiqua" w:hAnsi="Book Antiqua" w:cs="Arial"/>
          <w:lang w:val="en-US"/>
        </w:rPr>
        <w:t xml:space="preserve">The CTA denied </w:t>
      </w:r>
      <w:r w:rsidR="00683118" w:rsidRPr="0059692A">
        <w:rPr>
          <w:rFonts w:ascii="Book Antiqua" w:hAnsi="Book Antiqua" w:cs="Arial"/>
          <w:lang w:val="en-US"/>
        </w:rPr>
        <w:t xml:space="preserve">CIR’s MFR. </w:t>
      </w:r>
    </w:p>
    <w:p w14:paraId="2341DCA0" w14:textId="30B9ABBC" w:rsidR="00683118" w:rsidRPr="0059692A" w:rsidRDefault="00683118" w:rsidP="00E814E1">
      <w:pPr>
        <w:jc w:val="both"/>
        <w:rPr>
          <w:rFonts w:ascii="Book Antiqua" w:hAnsi="Book Antiqua" w:cs="Arial"/>
          <w:lang w:val="en-US"/>
        </w:rPr>
      </w:pPr>
    </w:p>
    <w:p w14:paraId="5DFE1B52" w14:textId="7216FEE4" w:rsidR="00683118" w:rsidRPr="0059692A" w:rsidRDefault="00683118" w:rsidP="00E814E1">
      <w:pPr>
        <w:jc w:val="both"/>
        <w:rPr>
          <w:rFonts w:ascii="Book Antiqua" w:hAnsi="Book Antiqua" w:cs="Arial"/>
          <w:lang w:val="en-US"/>
        </w:rPr>
      </w:pPr>
      <w:r w:rsidRPr="0059692A">
        <w:rPr>
          <w:rFonts w:ascii="Book Antiqua" w:hAnsi="Book Antiqua" w:cs="Arial"/>
          <w:i/>
          <w:iCs/>
          <w:lang w:val="en-US"/>
        </w:rPr>
        <w:t xml:space="preserve">First, </w:t>
      </w:r>
      <w:r w:rsidRPr="0059692A">
        <w:rPr>
          <w:rFonts w:ascii="Book Antiqua" w:hAnsi="Book Antiqua" w:cs="Arial"/>
          <w:lang w:val="en-US"/>
        </w:rPr>
        <w:t xml:space="preserve">the waiver executed by taxpayer is void </w:t>
      </w:r>
      <w:r w:rsidR="00C508C6" w:rsidRPr="0059692A">
        <w:rPr>
          <w:rFonts w:ascii="Book Antiqua" w:hAnsi="Book Antiqua" w:cs="Arial"/>
          <w:lang w:val="en-US"/>
        </w:rPr>
        <w:t xml:space="preserve">because it failed to indicate the kind and exact amount of the taxes to be assessed or collected. Considering that the petitioner received the FLD and FANs beyond the three-year prescriptive period under the NIRC, the assessments are void due to prescription. </w:t>
      </w:r>
    </w:p>
    <w:p w14:paraId="773D560E" w14:textId="071B4037" w:rsidR="00C508C6" w:rsidRPr="0059692A" w:rsidRDefault="00C508C6" w:rsidP="00E814E1">
      <w:pPr>
        <w:jc w:val="both"/>
        <w:rPr>
          <w:rFonts w:ascii="Book Antiqua" w:hAnsi="Book Antiqua" w:cs="Arial"/>
          <w:lang w:val="en-US"/>
        </w:rPr>
      </w:pPr>
    </w:p>
    <w:p w14:paraId="4EF64080" w14:textId="5C2A1809" w:rsidR="0072453B" w:rsidRPr="0059692A" w:rsidRDefault="00C508C6" w:rsidP="0072453B">
      <w:pPr>
        <w:jc w:val="both"/>
        <w:rPr>
          <w:rFonts w:ascii="Book Antiqua" w:hAnsi="Book Antiqua" w:cs="Arial"/>
        </w:rPr>
      </w:pPr>
      <w:r w:rsidRPr="0059692A">
        <w:rPr>
          <w:rFonts w:ascii="Book Antiqua" w:hAnsi="Book Antiqua" w:cs="Arial"/>
          <w:i/>
          <w:iCs/>
          <w:lang w:val="en-US"/>
        </w:rPr>
        <w:t>Second,</w:t>
      </w:r>
      <w:r w:rsidRPr="0059692A">
        <w:rPr>
          <w:rFonts w:ascii="Book Antiqua" w:hAnsi="Book Antiqua" w:cs="Arial"/>
          <w:lang w:val="en-US"/>
        </w:rPr>
        <w:t xml:space="preserve"> </w:t>
      </w:r>
      <w:r w:rsidR="00524FE4" w:rsidRPr="0059692A">
        <w:rPr>
          <w:rFonts w:ascii="Book Antiqua" w:hAnsi="Book Antiqua" w:cs="Arial"/>
          <w:lang w:val="en-US"/>
        </w:rPr>
        <w:t>RMO No. 69-10 is clear that all LOAs</w:t>
      </w:r>
      <w:r w:rsidR="00CC079E" w:rsidRPr="0059692A">
        <w:rPr>
          <w:rFonts w:ascii="Book Antiqua" w:hAnsi="Book Antiqua" w:cs="Arial"/>
          <w:lang w:val="en-US"/>
        </w:rPr>
        <w:t xml:space="preserve"> </w:t>
      </w:r>
      <w:r w:rsidR="00A753B6" w:rsidRPr="0059692A">
        <w:rPr>
          <w:rFonts w:ascii="Book Antiqua" w:hAnsi="Book Antiqua" w:cs="Arial"/>
          <w:lang w:val="en-US"/>
        </w:rPr>
        <w:t xml:space="preserve">from March 1, 2020, whether issued manually or electronically covering cases for 2009 and other taxable years are subject to retrieval and replacement with the new </w:t>
      </w:r>
      <w:proofErr w:type="spellStart"/>
      <w:r w:rsidR="00A753B6" w:rsidRPr="0059692A">
        <w:rPr>
          <w:rFonts w:ascii="Book Antiqua" w:hAnsi="Book Antiqua" w:cs="Arial"/>
          <w:lang w:val="en-US"/>
        </w:rPr>
        <w:t>eLOA</w:t>
      </w:r>
      <w:proofErr w:type="spellEnd"/>
      <w:r w:rsidR="00A753B6" w:rsidRPr="0059692A">
        <w:rPr>
          <w:rFonts w:ascii="Book Antiqua" w:hAnsi="Book Antiqua" w:cs="Arial"/>
          <w:lang w:val="en-US"/>
        </w:rPr>
        <w:t xml:space="preserve"> form. </w:t>
      </w:r>
      <w:r w:rsidR="00A753B6" w:rsidRPr="0059692A">
        <w:rPr>
          <w:rFonts w:ascii="Book Antiqua" w:hAnsi="Book Antiqua" w:cs="Arial"/>
        </w:rPr>
        <w:t>Consequently</w:t>
      </w:r>
      <w:r w:rsidR="00A753B6" w:rsidRPr="00A753B6">
        <w:rPr>
          <w:rFonts w:ascii="Book Antiqua" w:hAnsi="Book Antiqua" w:cs="Arial"/>
        </w:rPr>
        <w:t xml:space="preserve">, a revenue officer's authority to continue the said audit/investigation shall be done only when such retrieval and replacement have been made. </w:t>
      </w:r>
      <w:r w:rsidR="0072453B" w:rsidRPr="0059692A">
        <w:rPr>
          <w:rFonts w:ascii="Book Antiqua" w:hAnsi="Book Antiqua" w:cs="Arial"/>
        </w:rPr>
        <w:t xml:space="preserve">In the present case, there is no showing that the present LOA, which was issued on May 14, 2010, has been retrieved and replaced by an </w:t>
      </w:r>
      <w:proofErr w:type="spellStart"/>
      <w:r w:rsidR="0072453B" w:rsidRPr="0059692A">
        <w:rPr>
          <w:rFonts w:ascii="Book Antiqua" w:hAnsi="Book Antiqua" w:cs="Arial"/>
        </w:rPr>
        <w:t>eLOA</w:t>
      </w:r>
      <w:proofErr w:type="spellEnd"/>
      <w:r w:rsidR="0072453B" w:rsidRPr="0059692A">
        <w:rPr>
          <w:rFonts w:ascii="Book Antiqua" w:hAnsi="Book Antiqua" w:cs="Arial"/>
        </w:rPr>
        <w:t xml:space="preserve">. As such, the revenue officers named in the said LOA, and any other BIR personnel who examined petitioner, were not authorized through an </w:t>
      </w:r>
      <w:proofErr w:type="spellStart"/>
      <w:r w:rsidR="0072453B" w:rsidRPr="0059692A">
        <w:rPr>
          <w:rFonts w:ascii="Book Antiqua" w:hAnsi="Book Antiqua" w:cs="Arial"/>
        </w:rPr>
        <w:t>eLOA</w:t>
      </w:r>
      <w:proofErr w:type="spellEnd"/>
      <w:r w:rsidR="0072453B" w:rsidRPr="0059692A">
        <w:rPr>
          <w:rFonts w:ascii="Book Antiqua" w:hAnsi="Book Antiqua" w:cs="Arial"/>
        </w:rPr>
        <w:t xml:space="preserve"> to proceed with the tax audit. </w:t>
      </w:r>
    </w:p>
    <w:p w14:paraId="4298640E" w14:textId="6F430B5A" w:rsidR="00A753B6" w:rsidRPr="0059692A" w:rsidRDefault="00A753B6" w:rsidP="00A753B6">
      <w:pPr>
        <w:jc w:val="both"/>
        <w:rPr>
          <w:rFonts w:ascii="Book Antiqua" w:hAnsi="Book Antiqua" w:cs="Arial"/>
          <w:lang w:val="en-US"/>
        </w:rPr>
      </w:pPr>
    </w:p>
    <w:p w14:paraId="3C39B6D6" w14:textId="77777777" w:rsidR="00156D71" w:rsidRPr="0059692A" w:rsidRDefault="00B43BA8" w:rsidP="00495FBF">
      <w:pPr>
        <w:jc w:val="both"/>
        <w:rPr>
          <w:rFonts w:ascii="Book Antiqua" w:hAnsi="Book Antiqua" w:cs="Arial"/>
        </w:rPr>
      </w:pPr>
      <w:r w:rsidRPr="0059692A">
        <w:rPr>
          <w:rFonts w:ascii="Book Antiqua" w:hAnsi="Book Antiqua" w:cs="Arial"/>
          <w:i/>
          <w:iCs/>
          <w:lang w:val="en-US"/>
        </w:rPr>
        <w:t xml:space="preserve">Third, </w:t>
      </w:r>
      <w:r w:rsidR="00CC7D33" w:rsidRPr="0059692A">
        <w:rPr>
          <w:rFonts w:ascii="Book Antiqua" w:hAnsi="Book Antiqua" w:cs="Arial"/>
          <w:lang w:val="en-US"/>
        </w:rPr>
        <w:t xml:space="preserve">the </w:t>
      </w:r>
      <w:r w:rsidR="00FE1F8A" w:rsidRPr="0059692A">
        <w:rPr>
          <w:rFonts w:ascii="Book Antiqua" w:hAnsi="Book Antiqua" w:cs="Arial"/>
          <w:lang w:val="en-US"/>
        </w:rPr>
        <w:t>tax assessments were void. Specifically, the FLD did not indicate a date and only contained the following statements: (a) “</w:t>
      </w:r>
      <w:r w:rsidR="00FE1F8A" w:rsidRPr="00FE1F8A">
        <w:rPr>
          <w:rFonts w:ascii="Book Antiqua" w:hAnsi="Book Antiqua" w:cs="Arial"/>
        </w:rPr>
        <w:t>Please take note that the interest will have to be adjusted if paid beyond the date specified therein</w:t>
      </w:r>
      <w:r w:rsidR="00FE1F8A" w:rsidRPr="0059692A">
        <w:rPr>
          <w:rFonts w:ascii="Book Antiqua" w:hAnsi="Book Antiqua" w:cs="Arial"/>
        </w:rPr>
        <w:t>.”; and (b) “</w:t>
      </w:r>
      <w:r w:rsidR="00FE1F8A" w:rsidRPr="00FE1F8A">
        <w:rPr>
          <w:rFonts w:ascii="Book Antiqua" w:hAnsi="Book Antiqua" w:cs="Arial"/>
        </w:rPr>
        <w:t xml:space="preserve">In view thereof, you are requested to pay your aforesaid deficiency tax liabilities using the BIR Payment Form (BIR Form 0605) through </w:t>
      </w:r>
      <w:proofErr w:type="spellStart"/>
      <w:r w:rsidR="00FE1F8A" w:rsidRPr="00FE1F8A">
        <w:rPr>
          <w:rFonts w:ascii="Book Antiqua" w:hAnsi="Book Antiqua" w:cs="Arial"/>
        </w:rPr>
        <w:t>eFPS</w:t>
      </w:r>
      <w:proofErr w:type="spellEnd"/>
      <w:r w:rsidR="00FE1F8A" w:rsidRPr="00FE1F8A">
        <w:rPr>
          <w:rFonts w:ascii="Book Antiqua" w:hAnsi="Book Antiqua" w:cs="Arial"/>
        </w:rPr>
        <w:t xml:space="preserve"> within the time shown in the enclosed assessment notice.</w:t>
      </w:r>
      <w:r w:rsidR="00FE1F8A" w:rsidRPr="0059692A">
        <w:rPr>
          <w:rFonts w:ascii="Book Antiqua" w:hAnsi="Book Antiqua" w:cs="Arial"/>
        </w:rPr>
        <w:t xml:space="preserve">” </w:t>
      </w:r>
      <w:r w:rsidR="009207C2" w:rsidRPr="0059692A">
        <w:rPr>
          <w:rFonts w:ascii="Book Antiqua" w:hAnsi="Book Antiqua" w:cs="Arial"/>
        </w:rPr>
        <w:t xml:space="preserve">Moreover, while the FLD provides for the computation of petitioner's tax liability, the amount, however, remains indefinite as it states that the total amount of tax due is still subject to adjustment. </w:t>
      </w:r>
      <w:r w:rsidR="00F95796" w:rsidRPr="0059692A">
        <w:rPr>
          <w:rFonts w:ascii="Book Antiqua" w:hAnsi="Book Antiqua" w:cs="Arial"/>
        </w:rPr>
        <w:t>The FAN also shows that the spaces for the due dates were left blank.</w:t>
      </w:r>
    </w:p>
    <w:p w14:paraId="52F35716" w14:textId="77777777" w:rsidR="00156D71" w:rsidRPr="0059692A" w:rsidRDefault="00156D71" w:rsidP="00495FBF">
      <w:pPr>
        <w:jc w:val="both"/>
        <w:rPr>
          <w:rFonts w:ascii="Book Antiqua" w:hAnsi="Book Antiqua" w:cs="Arial"/>
        </w:rPr>
      </w:pPr>
    </w:p>
    <w:p w14:paraId="0EBA9F23" w14:textId="77777777" w:rsidR="00156D71" w:rsidRPr="0059692A" w:rsidRDefault="00156D71" w:rsidP="00495FBF">
      <w:pPr>
        <w:jc w:val="both"/>
        <w:rPr>
          <w:rFonts w:ascii="Book Antiqua" w:hAnsi="Book Antiqua" w:cs="Arial"/>
        </w:rPr>
      </w:pPr>
    </w:p>
    <w:p w14:paraId="4C7DE11B" w14:textId="11E4B9DA" w:rsidR="00F71F09" w:rsidRPr="00F71F09" w:rsidRDefault="00F71F09" w:rsidP="00495FBF">
      <w:pPr>
        <w:jc w:val="both"/>
        <w:rPr>
          <w:rFonts w:ascii="Book Antiqua" w:hAnsi="Book Antiqua" w:cs="Arial"/>
        </w:rPr>
      </w:pPr>
      <w:r w:rsidRPr="00F71F09">
        <w:rPr>
          <w:rFonts w:ascii="Book Antiqua" w:hAnsi="Book Antiqua" w:cs="Arial"/>
        </w:rPr>
        <w:t xml:space="preserve"> </w:t>
      </w:r>
    </w:p>
    <w:p w14:paraId="7BA2D032" w14:textId="77777777" w:rsidR="00F71F09" w:rsidRPr="0059692A" w:rsidRDefault="00F71F09" w:rsidP="009207C2">
      <w:pPr>
        <w:rPr>
          <w:rFonts w:ascii="Book Antiqua" w:hAnsi="Book Antiqua" w:cs="Arial"/>
        </w:rPr>
      </w:pPr>
    </w:p>
    <w:p w14:paraId="019567A2" w14:textId="5BB55750" w:rsidR="0085112D" w:rsidRPr="0059692A" w:rsidRDefault="0085112D" w:rsidP="003738A9">
      <w:pPr>
        <w:rPr>
          <w:rFonts w:ascii="Book Antiqua" w:hAnsi="Book Antiqua" w:cs="Arial"/>
          <w:b/>
          <w:bCs/>
          <w:u w:val="single"/>
          <w:lang w:val="en-US"/>
        </w:rPr>
      </w:pPr>
    </w:p>
    <w:p w14:paraId="56E3915F" w14:textId="77777777" w:rsidR="0085112D" w:rsidRPr="0059692A" w:rsidRDefault="0085112D" w:rsidP="006A6AA6">
      <w:pPr>
        <w:jc w:val="center"/>
        <w:rPr>
          <w:rFonts w:ascii="Book Antiqua" w:hAnsi="Book Antiqua" w:cs="Arial"/>
          <w:b/>
          <w:bCs/>
          <w:u w:val="single"/>
          <w:lang w:val="en-US"/>
        </w:rPr>
      </w:pPr>
    </w:p>
    <w:p w14:paraId="72ACE97D" w14:textId="736B84D0" w:rsidR="006A6AA6" w:rsidRPr="0059692A" w:rsidRDefault="006A6AA6" w:rsidP="006A6AA6">
      <w:pPr>
        <w:jc w:val="center"/>
        <w:rPr>
          <w:rFonts w:ascii="Book Antiqua" w:hAnsi="Book Antiqua" w:cs="Arial"/>
          <w:b/>
          <w:bCs/>
          <w:u w:val="single"/>
          <w:lang w:val="en-US"/>
        </w:rPr>
      </w:pPr>
      <w:r w:rsidRPr="0059692A">
        <w:rPr>
          <w:rFonts w:ascii="Book Antiqua" w:hAnsi="Book Antiqua" w:cs="Arial"/>
          <w:b/>
          <w:bCs/>
          <w:u w:val="single"/>
          <w:lang w:val="en-US"/>
        </w:rPr>
        <w:t xml:space="preserve">Bureau of Internal Revenue - Revenue Regulations </w:t>
      </w:r>
    </w:p>
    <w:p w14:paraId="7F742AD0" w14:textId="001E8DAB" w:rsidR="006A6AA6" w:rsidRPr="0059692A" w:rsidRDefault="006A6AA6" w:rsidP="00475241">
      <w:pPr>
        <w:rPr>
          <w:rFonts w:ascii="Book Antiqua" w:hAnsi="Book Antiqua" w:cs="Arial"/>
          <w:b/>
          <w:bCs/>
          <w:u w:val="single"/>
          <w:lang w:val="en-US"/>
        </w:rPr>
      </w:pPr>
    </w:p>
    <w:p w14:paraId="2F2D9B6F" w14:textId="5B23050A" w:rsidR="00475241" w:rsidRPr="0059692A" w:rsidRDefault="00475241" w:rsidP="00475241">
      <w:pPr>
        <w:jc w:val="both"/>
        <w:rPr>
          <w:rFonts w:ascii="Book Antiqua" w:hAnsi="Book Antiqua" w:cs="Arial"/>
          <w:b/>
          <w:bCs/>
          <w:lang w:val="en-US"/>
        </w:rPr>
      </w:pPr>
      <w:r w:rsidRPr="0059692A">
        <w:rPr>
          <w:rFonts w:ascii="Book Antiqua" w:hAnsi="Book Antiqua" w:cs="Arial"/>
          <w:b/>
          <w:bCs/>
          <w:lang w:val="en-US"/>
        </w:rPr>
        <w:t xml:space="preserve">REVEUE </w:t>
      </w:r>
      <w:r w:rsidR="008E1AAE" w:rsidRPr="0059692A">
        <w:rPr>
          <w:rFonts w:ascii="Book Antiqua" w:hAnsi="Book Antiqua" w:cs="Arial"/>
          <w:b/>
          <w:bCs/>
          <w:lang w:val="en-US"/>
        </w:rPr>
        <w:t>REGULATIONS</w:t>
      </w:r>
      <w:r w:rsidRPr="0059692A">
        <w:rPr>
          <w:rFonts w:ascii="Book Antiqua" w:hAnsi="Book Antiqua" w:cs="Arial"/>
          <w:b/>
          <w:bCs/>
          <w:lang w:val="en-US"/>
        </w:rPr>
        <w:t xml:space="preserve"> NO. </w:t>
      </w:r>
      <w:r w:rsidR="008E1AAE" w:rsidRPr="0059692A">
        <w:rPr>
          <w:rFonts w:ascii="Book Antiqua" w:hAnsi="Book Antiqua" w:cs="Arial"/>
          <w:b/>
          <w:bCs/>
          <w:lang w:val="en-US"/>
        </w:rPr>
        <w:t>6</w:t>
      </w:r>
      <w:r w:rsidRPr="0059692A">
        <w:rPr>
          <w:rFonts w:ascii="Book Antiqua" w:hAnsi="Book Antiqua" w:cs="Arial"/>
          <w:b/>
          <w:bCs/>
          <w:lang w:val="en-US"/>
        </w:rPr>
        <w:t xml:space="preserve">-2021 </w:t>
      </w:r>
      <w:r w:rsidR="008E1AAE" w:rsidRPr="0059692A">
        <w:rPr>
          <w:rFonts w:ascii="Book Antiqua" w:hAnsi="Book Antiqua" w:cs="Arial"/>
          <w:b/>
          <w:bCs/>
          <w:lang w:val="en-US"/>
        </w:rPr>
        <w:t>–</w:t>
      </w:r>
      <w:r w:rsidRPr="0059692A">
        <w:rPr>
          <w:rFonts w:ascii="Book Antiqua" w:hAnsi="Book Antiqua" w:cs="Arial"/>
          <w:b/>
          <w:bCs/>
          <w:lang w:val="en-US"/>
        </w:rPr>
        <w:t xml:space="preserve"> </w:t>
      </w:r>
      <w:r w:rsidR="008E1AAE" w:rsidRPr="0059692A">
        <w:rPr>
          <w:rFonts w:ascii="Book Antiqua" w:hAnsi="Book Antiqua" w:cs="Arial"/>
          <w:b/>
          <w:bCs/>
          <w:lang w:val="en-US"/>
        </w:rPr>
        <w:t>PRESCRIBING THE ADDITIONAL GUIDELINES FOR IMPLEMENTING THE TAX PROVISIONS OF PERA ACT OF 2008 EFFECTIVELY AMENDING PERTINENT PROVISIONS OF REVENUE REULATIONS NO. 17-2011</w:t>
      </w:r>
      <w:r w:rsidRPr="0059692A">
        <w:rPr>
          <w:rFonts w:ascii="Book Antiqua" w:hAnsi="Book Antiqua" w:cs="Arial"/>
          <w:lang w:val="en-US"/>
        </w:rPr>
        <w:t xml:space="preserve"> </w:t>
      </w:r>
      <w:r w:rsidRPr="0059692A">
        <w:rPr>
          <w:rFonts w:ascii="Book Antiqua" w:hAnsi="Book Antiqua" w:cs="Arial"/>
          <w:b/>
          <w:bCs/>
          <w:lang w:val="en-US"/>
        </w:rPr>
        <w:t xml:space="preserve">April </w:t>
      </w:r>
      <w:r w:rsidR="008E1AAE" w:rsidRPr="0059692A">
        <w:rPr>
          <w:rFonts w:ascii="Book Antiqua" w:hAnsi="Book Antiqua" w:cs="Arial"/>
          <w:b/>
          <w:bCs/>
          <w:lang w:val="en-US"/>
        </w:rPr>
        <w:t>31</w:t>
      </w:r>
      <w:r w:rsidRPr="0059692A">
        <w:rPr>
          <w:rFonts w:ascii="Book Antiqua" w:hAnsi="Book Antiqua" w:cs="Arial"/>
          <w:b/>
          <w:bCs/>
          <w:lang w:val="en-US"/>
        </w:rPr>
        <w:t xml:space="preserve">, 2021. </w:t>
      </w:r>
    </w:p>
    <w:p w14:paraId="69854585" w14:textId="38C8E6F1" w:rsidR="008E1AAE" w:rsidRPr="0059692A" w:rsidRDefault="008E1AAE" w:rsidP="00475241">
      <w:pPr>
        <w:jc w:val="both"/>
        <w:rPr>
          <w:rFonts w:ascii="Book Antiqua" w:hAnsi="Book Antiqua" w:cs="Arial"/>
          <w:lang w:val="en-US"/>
        </w:rPr>
      </w:pPr>
    </w:p>
    <w:p w14:paraId="0E508D69" w14:textId="7B3B433D" w:rsidR="008E1AAE" w:rsidRPr="0059692A" w:rsidRDefault="00761092" w:rsidP="00475241">
      <w:pPr>
        <w:jc w:val="both"/>
        <w:rPr>
          <w:rFonts w:ascii="Book Antiqua" w:hAnsi="Book Antiqua" w:cs="Arial"/>
          <w:lang w:val="en-US"/>
        </w:rPr>
      </w:pPr>
      <w:r w:rsidRPr="0059692A">
        <w:rPr>
          <w:rFonts w:ascii="Book Antiqua" w:hAnsi="Book Antiqua" w:cs="Arial"/>
          <w:lang w:val="en-US"/>
        </w:rPr>
        <w:t>These regulations are issued to prescribe additional guidelines for implementing the tax provisions of R.A. No. 9505, otherwise known as the Pe</w:t>
      </w:r>
      <w:r w:rsidR="00A1096D" w:rsidRPr="0059692A">
        <w:rPr>
          <w:rFonts w:ascii="Book Antiqua" w:hAnsi="Book Antiqua" w:cs="Arial"/>
          <w:lang w:val="en-US"/>
        </w:rPr>
        <w:t xml:space="preserve">rsonal Equity and Retirement Account (“PERA”) Act of 2008.” </w:t>
      </w:r>
    </w:p>
    <w:p w14:paraId="2B8F7A64" w14:textId="3A57124A" w:rsidR="006E55A9" w:rsidRPr="0059692A" w:rsidRDefault="006E55A9" w:rsidP="00475241">
      <w:pPr>
        <w:jc w:val="both"/>
        <w:rPr>
          <w:rFonts w:ascii="Book Antiqua" w:hAnsi="Book Antiqua" w:cs="Arial"/>
          <w:lang w:val="en-US"/>
        </w:rPr>
      </w:pPr>
    </w:p>
    <w:p w14:paraId="3965710F" w14:textId="52D19548" w:rsidR="006E55A9" w:rsidRPr="0059692A" w:rsidRDefault="006E55A9" w:rsidP="00475241">
      <w:pPr>
        <w:jc w:val="both"/>
        <w:rPr>
          <w:rFonts w:ascii="Book Antiqua" w:hAnsi="Book Antiqua" w:cs="Arial"/>
          <w:lang w:val="en-US"/>
        </w:rPr>
      </w:pPr>
      <w:r w:rsidRPr="0059692A">
        <w:rPr>
          <w:rFonts w:ascii="Book Antiqua" w:hAnsi="Book Antiqua" w:cs="Arial"/>
          <w:lang w:val="en-US"/>
        </w:rPr>
        <w:t>The regulations provided for the list of reports</w:t>
      </w:r>
      <w:r w:rsidR="00E91EE8" w:rsidRPr="0059692A">
        <w:rPr>
          <w:rFonts w:ascii="Book Antiqua" w:hAnsi="Book Antiqua" w:cs="Arial"/>
          <w:lang w:val="en-US"/>
        </w:rPr>
        <w:t xml:space="preserve"> (</w:t>
      </w:r>
      <w:r w:rsidR="00A22233" w:rsidRPr="0059692A">
        <w:rPr>
          <w:rFonts w:ascii="Book Antiqua" w:hAnsi="Book Antiqua" w:cs="Arial"/>
          <w:lang w:val="en-US"/>
        </w:rPr>
        <w:t>attached as Annexes</w:t>
      </w:r>
      <w:r w:rsidR="00E91EE8" w:rsidRPr="0059692A">
        <w:rPr>
          <w:rFonts w:ascii="Book Antiqua" w:hAnsi="Book Antiqua" w:cs="Arial"/>
          <w:lang w:val="en-US"/>
        </w:rPr>
        <w:t>)</w:t>
      </w:r>
      <w:r w:rsidRPr="0059692A">
        <w:rPr>
          <w:rFonts w:ascii="Book Antiqua" w:hAnsi="Book Antiqua" w:cs="Arial"/>
          <w:lang w:val="en-US"/>
        </w:rPr>
        <w:t xml:space="preserve"> that shall be submitted by the PERA Administrators through the </w:t>
      </w:r>
      <w:proofErr w:type="spellStart"/>
      <w:r w:rsidRPr="0059692A">
        <w:rPr>
          <w:rFonts w:ascii="Book Antiqua" w:hAnsi="Book Antiqua" w:cs="Arial"/>
          <w:lang w:val="en-US"/>
        </w:rPr>
        <w:t>PERASys</w:t>
      </w:r>
      <w:proofErr w:type="spellEnd"/>
      <w:r w:rsidR="00E91EE8" w:rsidRPr="0059692A">
        <w:rPr>
          <w:rFonts w:ascii="Book Antiqua" w:hAnsi="Book Antiqua" w:cs="Arial"/>
          <w:lang w:val="en-US"/>
        </w:rPr>
        <w:t xml:space="preserve">. </w:t>
      </w:r>
    </w:p>
    <w:p w14:paraId="490368EE" w14:textId="22DD3FDD" w:rsidR="00E91EE8" w:rsidRPr="0059692A" w:rsidRDefault="00E91EE8" w:rsidP="00475241">
      <w:pPr>
        <w:jc w:val="both"/>
        <w:rPr>
          <w:rFonts w:ascii="Book Antiqua" w:hAnsi="Book Antiqua" w:cs="Arial"/>
          <w:lang w:val="en-US"/>
        </w:rPr>
      </w:pPr>
    </w:p>
    <w:p w14:paraId="1CE7CD1D" w14:textId="7E0A503E" w:rsidR="00E91EE8" w:rsidRPr="0059692A" w:rsidRDefault="00E91EE8" w:rsidP="004D1021">
      <w:pPr>
        <w:jc w:val="both"/>
        <w:rPr>
          <w:rFonts w:ascii="Book Antiqua" w:hAnsi="Book Antiqua" w:cs="Arial"/>
          <w:lang w:val="en-US"/>
        </w:rPr>
      </w:pPr>
      <w:r w:rsidRPr="0059692A">
        <w:rPr>
          <w:rFonts w:ascii="Book Antiqua" w:hAnsi="Book Antiqua" w:cs="Arial"/>
          <w:lang w:val="en-US"/>
        </w:rPr>
        <w:t xml:space="preserve">The PERA-Tax Credit Certificate (“TCC”) shall refer to the document evidencing the amount of tax credit equivalent to 5% of the total amount of the qualified PERA contributions made in a year. The application for PERA-TCC shall be filed through the </w:t>
      </w:r>
      <w:proofErr w:type="spellStart"/>
      <w:r w:rsidRPr="0059692A">
        <w:rPr>
          <w:rFonts w:ascii="Book Antiqua" w:hAnsi="Book Antiqua" w:cs="Arial"/>
          <w:lang w:val="en-US"/>
        </w:rPr>
        <w:t>PERASys</w:t>
      </w:r>
      <w:proofErr w:type="spellEnd"/>
      <w:r w:rsidRPr="0059692A">
        <w:rPr>
          <w:rFonts w:ascii="Book Antiqua" w:hAnsi="Book Antiqua" w:cs="Arial"/>
          <w:lang w:val="en-US"/>
        </w:rPr>
        <w:t xml:space="preserve"> by the PERA Administrator within 60 days from the close of the calendar year. </w:t>
      </w:r>
      <w:r w:rsidR="004D1021" w:rsidRPr="0059692A">
        <w:rPr>
          <w:rFonts w:ascii="Book Antiqua" w:hAnsi="Book Antiqua" w:cs="Arial"/>
          <w:lang w:val="en-US"/>
        </w:rPr>
        <w:t xml:space="preserve">The PERA-TCC shall be readily accessible </w:t>
      </w:r>
      <w:proofErr w:type="spellStart"/>
      <w:r w:rsidR="004D1021" w:rsidRPr="0059692A">
        <w:rPr>
          <w:rFonts w:ascii="Book Antiqua" w:hAnsi="Book Antiqua" w:cs="Arial"/>
          <w:lang w:val="en-US"/>
        </w:rPr>
        <w:t>PERASys</w:t>
      </w:r>
      <w:proofErr w:type="spellEnd"/>
      <w:r w:rsidR="004D1021" w:rsidRPr="0059692A">
        <w:rPr>
          <w:rFonts w:ascii="Book Antiqua" w:hAnsi="Book Antiqua" w:cs="Arial"/>
          <w:lang w:val="en-US"/>
        </w:rPr>
        <w:t xml:space="preserve"> for issuance to their respective contributors. It shall be printed upon requested by the qualified contributor. </w:t>
      </w:r>
    </w:p>
    <w:p w14:paraId="6CB54465" w14:textId="010DC9DC" w:rsidR="008E5F3A" w:rsidRPr="0059692A" w:rsidRDefault="008E5F3A" w:rsidP="004D1021">
      <w:pPr>
        <w:jc w:val="both"/>
        <w:rPr>
          <w:rFonts w:ascii="Book Antiqua" w:hAnsi="Book Antiqua" w:cs="Arial"/>
          <w:lang w:val="en-US"/>
        </w:rPr>
      </w:pPr>
    </w:p>
    <w:p w14:paraId="0905B772" w14:textId="6C4594C7" w:rsidR="008E5F3A" w:rsidRPr="0059692A" w:rsidRDefault="008E5F3A" w:rsidP="004D1021">
      <w:pPr>
        <w:jc w:val="both"/>
        <w:rPr>
          <w:rFonts w:ascii="Book Antiqua" w:hAnsi="Book Antiqua" w:cs="Arial"/>
          <w:lang w:val="en-US"/>
        </w:rPr>
      </w:pPr>
      <w:r w:rsidRPr="0059692A">
        <w:rPr>
          <w:rFonts w:ascii="Book Antiqua" w:hAnsi="Book Antiqua" w:cs="Arial"/>
          <w:lang w:val="en-US"/>
        </w:rPr>
        <w:t xml:space="preserve">The PERA-TCC shall be used for the payment of income tax liabilities of qualified employees and self-employed contributors, while for qualified overseas Filipino contributors, it can be used for payment of any internal revenue taxes. </w:t>
      </w:r>
      <w:r w:rsidR="00F83C75" w:rsidRPr="0059692A">
        <w:rPr>
          <w:rFonts w:ascii="Book Antiqua" w:hAnsi="Book Antiqua" w:cs="Arial"/>
          <w:lang w:val="en-US"/>
        </w:rPr>
        <w:t xml:space="preserve">The PERA-TCC shall be surrendered and attached to the applicable tax returns. </w:t>
      </w:r>
    </w:p>
    <w:p w14:paraId="4469911A" w14:textId="20F06132" w:rsidR="00F83C75" w:rsidRPr="0059692A" w:rsidRDefault="00F83C75" w:rsidP="004D1021">
      <w:pPr>
        <w:jc w:val="both"/>
        <w:rPr>
          <w:rFonts w:ascii="Book Antiqua" w:hAnsi="Book Antiqua" w:cs="Arial"/>
          <w:lang w:val="en-US"/>
        </w:rPr>
      </w:pPr>
    </w:p>
    <w:p w14:paraId="40CD9155" w14:textId="27EA64A6" w:rsidR="00F83C75" w:rsidRPr="0059692A" w:rsidRDefault="00F83C75" w:rsidP="004D1021">
      <w:pPr>
        <w:jc w:val="both"/>
        <w:rPr>
          <w:rFonts w:ascii="Book Antiqua" w:hAnsi="Book Antiqua" w:cs="Arial"/>
          <w:lang w:val="en-US"/>
        </w:rPr>
      </w:pPr>
      <w:r w:rsidRPr="0059692A">
        <w:rPr>
          <w:rFonts w:ascii="Book Antiqua" w:hAnsi="Book Antiqua" w:cs="Arial"/>
          <w:lang w:val="en-US"/>
        </w:rPr>
        <w:t>The penalties of 5% and 20% for early withdrawal of qualified contribution</w:t>
      </w:r>
      <w:r w:rsidR="00BC30C5" w:rsidRPr="0059692A">
        <w:rPr>
          <w:rFonts w:ascii="Book Antiqua" w:hAnsi="Book Antiqua" w:cs="Arial"/>
          <w:lang w:val="en-US"/>
        </w:rPr>
        <w:t>s</w:t>
      </w:r>
      <w:r w:rsidRPr="0059692A">
        <w:rPr>
          <w:rFonts w:ascii="Book Antiqua" w:hAnsi="Book Antiqua" w:cs="Arial"/>
          <w:lang w:val="en-US"/>
        </w:rPr>
        <w:t xml:space="preserve"> under RR No 10-2016 shall be deducted by the PERA administrator </w:t>
      </w:r>
      <w:r w:rsidR="003900CC" w:rsidRPr="0059692A">
        <w:rPr>
          <w:rFonts w:ascii="Book Antiqua" w:hAnsi="Book Antiqua" w:cs="Arial"/>
          <w:lang w:val="en-US"/>
        </w:rPr>
        <w:t xml:space="preserve">from the PERA account. </w:t>
      </w:r>
    </w:p>
    <w:p w14:paraId="0FA5DE32" w14:textId="6949D05F" w:rsidR="006A6AA6" w:rsidRPr="0059692A" w:rsidRDefault="006A6AA6" w:rsidP="00475241">
      <w:pPr>
        <w:rPr>
          <w:rFonts w:ascii="Book Antiqua" w:hAnsi="Book Antiqua" w:cs="Arial"/>
          <w:b/>
          <w:bCs/>
          <w:u w:val="single"/>
          <w:lang w:val="en-US"/>
        </w:rPr>
      </w:pPr>
    </w:p>
    <w:p w14:paraId="4FCBACCB" w14:textId="77777777" w:rsidR="006A6AA6" w:rsidRPr="0059692A" w:rsidRDefault="006A6AA6" w:rsidP="006A6AA6">
      <w:pPr>
        <w:jc w:val="center"/>
        <w:rPr>
          <w:rFonts w:ascii="Book Antiqua" w:hAnsi="Book Antiqua" w:cs="Arial"/>
          <w:b/>
          <w:bCs/>
          <w:u w:val="single"/>
          <w:lang w:val="en-US"/>
        </w:rPr>
      </w:pPr>
    </w:p>
    <w:p w14:paraId="32127F66" w14:textId="73C9673D" w:rsidR="006A6AA6" w:rsidRPr="0059692A" w:rsidRDefault="006A6AA6" w:rsidP="006A6AA6">
      <w:pPr>
        <w:jc w:val="center"/>
        <w:rPr>
          <w:rFonts w:ascii="Book Antiqua" w:hAnsi="Book Antiqua" w:cs="Arial"/>
          <w:b/>
          <w:bCs/>
          <w:u w:val="single"/>
          <w:lang w:val="en-US"/>
        </w:rPr>
      </w:pPr>
      <w:r w:rsidRPr="0059692A">
        <w:rPr>
          <w:rFonts w:ascii="Book Antiqua" w:hAnsi="Book Antiqua" w:cs="Arial"/>
          <w:b/>
          <w:bCs/>
          <w:u w:val="single"/>
          <w:lang w:val="en-US"/>
        </w:rPr>
        <w:t xml:space="preserve">Bureau of Internal Revenue – Revenue Memorandum Circulars </w:t>
      </w:r>
    </w:p>
    <w:p w14:paraId="139B4531" w14:textId="2B46CD62" w:rsidR="005E4DA0" w:rsidRPr="0059692A" w:rsidRDefault="005E4DA0" w:rsidP="005E4DA0">
      <w:pPr>
        <w:rPr>
          <w:rFonts w:ascii="Book Antiqua" w:hAnsi="Book Antiqua" w:cs="Arial"/>
          <w:b/>
          <w:bCs/>
          <w:u w:val="single"/>
          <w:lang w:val="en-US"/>
        </w:rPr>
      </w:pPr>
    </w:p>
    <w:p w14:paraId="564202BD" w14:textId="73B3D09E" w:rsidR="005E4DA0" w:rsidRPr="0059692A" w:rsidRDefault="005E4DA0" w:rsidP="005E4DA0">
      <w:pPr>
        <w:rPr>
          <w:rFonts w:ascii="Book Antiqua" w:hAnsi="Book Antiqua" w:cs="Arial"/>
          <w:lang w:val="en-US"/>
        </w:rPr>
      </w:pPr>
    </w:p>
    <w:p w14:paraId="5457216D" w14:textId="27A2BDBC" w:rsidR="005E4DA0" w:rsidRPr="0059692A" w:rsidRDefault="009B5EEB" w:rsidP="009B5EEB">
      <w:pPr>
        <w:jc w:val="both"/>
        <w:rPr>
          <w:rFonts w:ascii="Book Antiqua" w:hAnsi="Book Antiqua" w:cs="Arial"/>
          <w:lang w:val="en-US"/>
        </w:rPr>
      </w:pPr>
      <w:r w:rsidRPr="0059692A">
        <w:rPr>
          <w:rFonts w:ascii="Book Antiqua" w:hAnsi="Book Antiqua" w:cs="Arial"/>
          <w:b/>
          <w:bCs/>
          <w:lang w:val="en-US"/>
        </w:rPr>
        <w:t>REVEUE MEMORANDUM CIRCULAR NO. 54-2021 - CLARIFIES CERTAIN PROVISIONS OF REVENUE REGULATION (RR) NO. 34-2020</w:t>
      </w:r>
      <w:r w:rsidRPr="0059692A">
        <w:rPr>
          <w:rFonts w:ascii="Book Antiqua" w:hAnsi="Book Antiqua" w:cs="Arial"/>
          <w:lang w:val="en-US"/>
        </w:rPr>
        <w:t xml:space="preserve">. </w:t>
      </w:r>
      <w:r w:rsidRPr="0059692A">
        <w:rPr>
          <w:rFonts w:ascii="Book Antiqua" w:hAnsi="Book Antiqua" w:cs="Arial"/>
          <w:b/>
          <w:bCs/>
          <w:lang w:val="en-US"/>
        </w:rPr>
        <w:t>April 27, 2021.</w:t>
      </w:r>
      <w:r w:rsidRPr="0059692A">
        <w:rPr>
          <w:rFonts w:ascii="Book Antiqua" w:hAnsi="Book Antiqua" w:cs="Arial"/>
          <w:lang w:val="en-US"/>
        </w:rPr>
        <w:t xml:space="preserve"> </w:t>
      </w:r>
    </w:p>
    <w:p w14:paraId="0BDE8C2A" w14:textId="46135396" w:rsidR="005E4DA0" w:rsidRPr="0059692A" w:rsidRDefault="005E4DA0" w:rsidP="005E4DA0">
      <w:pPr>
        <w:rPr>
          <w:rFonts w:ascii="Book Antiqua" w:hAnsi="Book Antiqua" w:cs="Arial"/>
          <w:b/>
          <w:bCs/>
          <w:u w:val="single"/>
          <w:lang w:val="en-US"/>
        </w:rPr>
      </w:pPr>
    </w:p>
    <w:p w14:paraId="6E7A7B41" w14:textId="119392BE" w:rsidR="004538C4" w:rsidRPr="0059692A" w:rsidRDefault="004538C4" w:rsidP="004538C4">
      <w:pPr>
        <w:jc w:val="both"/>
        <w:rPr>
          <w:rFonts w:ascii="Book Antiqua" w:hAnsi="Book Antiqua" w:cs="Arial"/>
          <w:lang w:val="en-US"/>
        </w:rPr>
      </w:pPr>
      <w:r w:rsidRPr="0059692A">
        <w:rPr>
          <w:rFonts w:ascii="Book Antiqua" w:hAnsi="Book Antiqua" w:cs="Arial"/>
          <w:lang w:val="en-US"/>
        </w:rPr>
        <w:t xml:space="preserve">A taxpayer is required to file BIR Form No. 1709 (“RPT Form”) if it satisfies the following conditions: (1) it is required to file an Annual income Tax Return (“AITR”); (2) it has </w:t>
      </w:r>
      <w:r w:rsidRPr="0059692A">
        <w:rPr>
          <w:rFonts w:ascii="Book Antiqua" w:hAnsi="Book Antiqua" w:cs="Arial"/>
          <w:lang w:val="en-US"/>
        </w:rPr>
        <w:lastRenderedPageBreak/>
        <w:t xml:space="preserve">transactions with domestic and foreign related party during the concerned taxable period; and (3) it falls under any of the following categories: (i) </w:t>
      </w:r>
      <w:r w:rsidR="00177531" w:rsidRPr="0059692A">
        <w:rPr>
          <w:rFonts w:ascii="Book Antiqua" w:hAnsi="Book Antiqua" w:cs="Arial"/>
          <w:lang w:val="en-US"/>
        </w:rPr>
        <w:t>large taxpayers; (ii) taxpayers enjoying tax incentives</w:t>
      </w:r>
      <w:r w:rsidR="003863B6" w:rsidRPr="0059692A">
        <w:rPr>
          <w:rFonts w:ascii="Book Antiqua" w:hAnsi="Book Antiqua" w:cs="Arial"/>
          <w:lang w:val="en-US"/>
        </w:rPr>
        <w:t xml:space="preserve"> or subject to preferential income tax rates</w:t>
      </w:r>
      <w:r w:rsidR="00177531" w:rsidRPr="0059692A">
        <w:rPr>
          <w:rFonts w:ascii="Book Antiqua" w:hAnsi="Book Antiqua" w:cs="Arial"/>
          <w:lang w:val="en-US"/>
        </w:rPr>
        <w:t xml:space="preserve">; (iii) taxpayers reporting </w:t>
      </w:r>
      <w:r w:rsidR="003863B6" w:rsidRPr="0059692A">
        <w:rPr>
          <w:rFonts w:ascii="Book Antiqua" w:hAnsi="Book Antiqua" w:cs="Arial"/>
          <w:lang w:val="en-US"/>
        </w:rPr>
        <w:t xml:space="preserve">net operating </w:t>
      </w:r>
      <w:r w:rsidR="0094645D" w:rsidRPr="0059692A">
        <w:rPr>
          <w:rFonts w:ascii="Book Antiqua" w:hAnsi="Book Antiqua" w:cs="Arial"/>
          <w:lang w:val="en-US"/>
        </w:rPr>
        <w:t xml:space="preserve">losses for the current taxable year and the immediate preceding two (2) consecutive taxable year; or (iv) a related party that has transactions with (i), (ii), and (iii). </w:t>
      </w:r>
    </w:p>
    <w:p w14:paraId="65713B98" w14:textId="44081561" w:rsidR="00777D88" w:rsidRPr="0059692A" w:rsidRDefault="00777D88" w:rsidP="004538C4">
      <w:pPr>
        <w:jc w:val="both"/>
        <w:rPr>
          <w:rFonts w:ascii="Book Antiqua" w:hAnsi="Book Antiqua" w:cs="Arial"/>
          <w:lang w:val="en-US"/>
        </w:rPr>
      </w:pPr>
    </w:p>
    <w:p w14:paraId="0528F7F1" w14:textId="50D52415" w:rsidR="00777D88" w:rsidRPr="0059692A" w:rsidRDefault="00777D88" w:rsidP="004538C4">
      <w:pPr>
        <w:jc w:val="both"/>
        <w:rPr>
          <w:rFonts w:ascii="Book Antiqua" w:hAnsi="Book Antiqua" w:cs="Arial"/>
          <w:lang w:val="en-US"/>
        </w:rPr>
      </w:pPr>
      <w:r w:rsidRPr="0059692A">
        <w:rPr>
          <w:rFonts w:ascii="Book Antiqua" w:hAnsi="Book Antiqua" w:cs="Arial"/>
          <w:lang w:val="en-US"/>
        </w:rPr>
        <w:t>A large taxpayer is a taxpayer who has been classified and duly notified by the Commissioner of Internal Revenue (“CIR”) for having satisfied any or a combination of a set criteria prescribed in Revenue Regulation</w:t>
      </w:r>
      <w:r w:rsidR="008E0385" w:rsidRPr="0059692A">
        <w:rPr>
          <w:rFonts w:ascii="Book Antiqua" w:hAnsi="Book Antiqua" w:cs="Arial"/>
          <w:lang w:val="en-US"/>
        </w:rPr>
        <w:t xml:space="preserve"> (“RR”)</w:t>
      </w:r>
      <w:r w:rsidRPr="0059692A">
        <w:rPr>
          <w:rFonts w:ascii="Book Antiqua" w:hAnsi="Book Antiqua" w:cs="Arial"/>
          <w:lang w:val="en-US"/>
        </w:rPr>
        <w:t xml:space="preserve"> No. 1-1998. </w:t>
      </w:r>
    </w:p>
    <w:p w14:paraId="0711E40A" w14:textId="5465F7BF" w:rsidR="00777D88" w:rsidRPr="0059692A" w:rsidRDefault="00777D88" w:rsidP="004538C4">
      <w:pPr>
        <w:jc w:val="both"/>
        <w:rPr>
          <w:rFonts w:ascii="Book Antiqua" w:hAnsi="Book Antiqua" w:cs="Arial"/>
          <w:lang w:val="en-US"/>
        </w:rPr>
      </w:pPr>
    </w:p>
    <w:p w14:paraId="29725DA8" w14:textId="33E08F44" w:rsidR="00E20939" w:rsidRPr="0059692A" w:rsidRDefault="001E76F3" w:rsidP="004538C4">
      <w:pPr>
        <w:jc w:val="both"/>
        <w:rPr>
          <w:rFonts w:ascii="Book Antiqua" w:hAnsi="Book Antiqua" w:cs="Arial"/>
          <w:lang w:val="en-US"/>
        </w:rPr>
      </w:pPr>
      <w:r w:rsidRPr="0059692A">
        <w:rPr>
          <w:rFonts w:ascii="Book Antiqua" w:hAnsi="Book Antiqua" w:cs="Arial"/>
          <w:lang w:val="en-US"/>
        </w:rPr>
        <w:t>I</w:t>
      </w:r>
      <w:r w:rsidR="00903CCD" w:rsidRPr="0059692A">
        <w:rPr>
          <w:rFonts w:ascii="Book Antiqua" w:hAnsi="Book Antiqua" w:cs="Arial"/>
          <w:lang w:val="en-US"/>
        </w:rPr>
        <w:t xml:space="preserve">nternational carriers, though subject to preferential rate under the Tax Code, is not required to file an RPT if they are either subject to tax based on their Gross Philippine Billings or gross revenues, </w:t>
      </w:r>
      <w:r w:rsidR="003130BE" w:rsidRPr="0059692A">
        <w:rPr>
          <w:rFonts w:ascii="Book Antiqua" w:hAnsi="Book Antiqua" w:cs="Arial"/>
          <w:lang w:val="en-US"/>
        </w:rPr>
        <w:t xml:space="preserve">including those who are exempt from tax under tax treaties or </w:t>
      </w:r>
      <w:proofErr w:type="gramStart"/>
      <w:r w:rsidR="003130BE" w:rsidRPr="0059692A">
        <w:rPr>
          <w:rFonts w:ascii="Book Antiqua" w:hAnsi="Book Antiqua" w:cs="Arial"/>
          <w:lang w:val="en-US"/>
        </w:rPr>
        <w:t>on the basis of</w:t>
      </w:r>
      <w:proofErr w:type="gramEnd"/>
      <w:r w:rsidR="003130BE" w:rsidRPr="0059692A">
        <w:rPr>
          <w:rFonts w:ascii="Book Antiqua" w:hAnsi="Book Antiqua" w:cs="Arial"/>
          <w:lang w:val="en-US"/>
        </w:rPr>
        <w:t xml:space="preserve"> </w:t>
      </w:r>
      <w:r w:rsidR="00E20939" w:rsidRPr="0059692A">
        <w:rPr>
          <w:rFonts w:ascii="Book Antiqua" w:hAnsi="Book Antiqua" w:cs="Arial"/>
          <w:lang w:val="en-US"/>
        </w:rPr>
        <w:t>reciprocity</w:t>
      </w:r>
      <w:r w:rsidR="003130BE" w:rsidRPr="0059692A">
        <w:rPr>
          <w:rFonts w:ascii="Book Antiqua" w:hAnsi="Book Antiqua" w:cs="Arial"/>
          <w:lang w:val="en-US"/>
        </w:rPr>
        <w:t>.</w:t>
      </w:r>
    </w:p>
    <w:p w14:paraId="75E11783" w14:textId="77777777" w:rsidR="00E20939" w:rsidRPr="0059692A" w:rsidRDefault="00E20939" w:rsidP="004538C4">
      <w:pPr>
        <w:jc w:val="both"/>
        <w:rPr>
          <w:rFonts w:ascii="Book Antiqua" w:hAnsi="Book Antiqua" w:cs="Arial"/>
          <w:lang w:val="en-US"/>
        </w:rPr>
      </w:pPr>
    </w:p>
    <w:p w14:paraId="331CC1D6" w14:textId="0811D6D1" w:rsidR="00C70BAC" w:rsidRPr="0059692A" w:rsidRDefault="00E20939" w:rsidP="004538C4">
      <w:pPr>
        <w:jc w:val="both"/>
        <w:rPr>
          <w:rFonts w:ascii="Book Antiqua" w:hAnsi="Book Antiqua" w:cs="Arial"/>
          <w:lang w:val="en-US"/>
        </w:rPr>
      </w:pPr>
      <w:r w:rsidRPr="0059692A">
        <w:rPr>
          <w:rFonts w:ascii="Book Antiqua" w:hAnsi="Book Antiqua" w:cs="Arial"/>
          <w:lang w:val="en-US"/>
        </w:rPr>
        <w:t xml:space="preserve">Taxpayers operating within the economic zone </w:t>
      </w:r>
      <w:r w:rsidR="008E0385" w:rsidRPr="0059692A">
        <w:rPr>
          <w:rFonts w:ascii="Book Antiqua" w:hAnsi="Book Antiqua" w:cs="Arial"/>
          <w:lang w:val="en-US"/>
        </w:rPr>
        <w:t>are</w:t>
      </w:r>
      <w:r w:rsidRPr="0059692A">
        <w:rPr>
          <w:rFonts w:ascii="Book Antiqua" w:hAnsi="Book Antiqua" w:cs="Arial"/>
          <w:lang w:val="en-US"/>
        </w:rPr>
        <w:t xml:space="preserve"> </w:t>
      </w:r>
      <w:proofErr w:type="spellStart"/>
      <w:r w:rsidRPr="0059692A">
        <w:rPr>
          <w:rFonts w:ascii="Book Antiqua" w:hAnsi="Book Antiqua" w:cs="Arial"/>
          <w:lang w:val="en-US"/>
        </w:rPr>
        <w:t>are</w:t>
      </w:r>
      <w:proofErr w:type="spellEnd"/>
      <w:r w:rsidRPr="0059692A">
        <w:rPr>
          <w:rFonts w:ascii="Book Antiqua" w:hAnsi="Book Antiqua" w:cs="Arial"/>
          <w:lang w:val="en-US"/>
        </w:rPr>
        <w:t xml:space="preserve"> not required to file an RPT Form</w:t>
      </w:r>
      <w:r w:rsidR="00C70BAC" w:rsidRPr="0059692A">
        <w:rPr>
          <w:rFonts w:ascii="Book Antiqua" w:hAnsi="Book Antiqua" w:cs="Arial"/>
          <w:lang w:val="en-US"/>
        </w:rPr>
        <w:t xml:space="preserve">. However, if the taxpayer falls under Section 2(a), 2(c), or 2(d) </w:t>
      </w:r>
      <w:r w:rsidR="008E0385" w:rsidRPr="0059692A">
        <w:rPr>
          <w:rFonts w:ascii="Book Antiqua" w:hAnsi="Book Antiqua" w:cs="Arial"/>
          <w:lang w:val="en-US"/>
        </w:rPr>
        <w:t>RR</w:t>
      </w:r>
      <w:r w:rsidR="00C70BAC" w:rsidRPr="0059692A">
        <w:rPr>
          <w:rFonts w:ascii="Book Antiqua" w:hAnsi="Book Antiqua" w:cs="Arial"/>
          <w:lang w:val="en-US"/>
        </w:rPr>
        <w:t xml:space="preserve"> No</w:t>
      </w:r>
      <w:r w:rsidR="008E0385" w:rsidRPr="0059692A">
        <w:rPr>
          <w:rFonts w:ascii="Book Antiqua" w:hAnsi="Book Antiqua" w:cs="Arial"/>
          <w:lang w:val="en-US"/>
        </w:rPr>
        <w:t>.</w:t>
      </w:r>
      <w:r w:rsidR="00C70BAC" w:rsidRPr="0059692A">
        <w:rPr>
          <w:rFonts w:ascii="Book Antiqua" w:hAnsi="Book Antiqua" w:cs="Arial"/>
          <w:lang w:val="en-US"/>
        </w:rPr>
        <w:t xml:space="preserve"> 34-2020, then it is required to file an RPT Form. </w:t>
      </w:r>
    </w:p>
    <w:p w14:paraId="0041AF7C" w14:textId="77777777" w:rsidR="00C70BAC" w:rsidRPr="0059692A" w:rsidRDefault="00C70BAC" w:rsidP="004538C4">
      <w:pPr>
        <w:jc w:val="both"/>
        <w:rPr>
          <w:rFonts w:ascii="Book Antiqua" w:hAnsi="Book Antiqua" w:cs="Arial"/>
          <w:lang w:val="en-US"/>
        </w:rPr>
      </w:pPr>
    </w:p>
    <w:p w14:paraId="3EFBC829" w14:textId="381E5AA3" w:rsidR="00E20939" w:rsidRPr="0059692A" w:rsidRDefault="005F6F1A" w:rsidP="004538C4">
      <w:pPr>
        <w:jc w:val="both"/>
        <w:rPr>
          <w:rFonts w:ascii="Book Antiqua" w:hAnsi="Book Antiqua" w:cs="Arial"/>
          <w:lang w:val="en-US"/>
        </w:rPr>
      </w:pPr>
      <w:r w:rsidRPr="0059692A">
        <w:rPr>
          <w:rFonts w:ascii="Book Antiqua" w:hAnsi="Book Antiqua" w:cs="Arial"/>
          <w:lang w:val="en-US"/>
        </w:rPr>
        <w:t xml:space="preserve">Taxpayers who are exempt from income tax under Section 30 of the </w:t>
      </w:r>
      <w:r w:rsidR="008E0385" w:rsidRPr="0059692A">
        <w:rPr>
          <w:rFonts w:ascii="Book Antiqua" w:hAnsi="Book Antiqua" w:cs="Arial"/>
          <w:lang w:val="en-US"/>
        </w:rPr>
        <w:t>NIRC</w:t>
      </w:r>
      <w:r w:rsidRPr="0059692A">
        <w:rPr>
          <w:rFonts w:ascii="Book Antiqua" w:hAnsi="Book Antiqua" w:cs="Arial"/>
          <w:lang w:val="en-US"/>
        </w:rPr>
        <w:t xml:space="preserve"> or similar provisions</w:t>
      </w:r>
      <w:r w:rsidR="000A7C31" w:rsidRPr="0059692A">
        <w:rPr>
          <w:rFonts w:ascii="Book Antiqua" w:hAnsi="Book Antiqua" w:cs="Arial"/>
          <w:lang w:val="en-US"/>
        </w:rPr>
        <w:t>, regional or area headquarters, representative offices of foreign corporations, and post-employment benefit plans</w:t>
      </w:r>
      <w:r w:rsidR="00F775EC" w:rsidRPr="0059692A">
        <w:rPr>
          <w:rFonts w:ascii="Book Antiqua" w:hAnsi="Book Antiqua" w:cs="Arial"/>
          <w:lang w:val="en-US"/>
        </w:rPr>
        <w:t xml:space="preserve"> are not required to file an RPT Form. </w:t>
      </w:r>
    </w:p>
    <w:p w14:paraId="5A634F2A" w14:textId="2EE0ED14" w:rsidR="00FA447B" w:rsidRPr="0059692A" w:rsidRDefault="00FA447B" w:rsidP="004538C4">
      <w:pPr>
        <w:jc w:val="both"/>
        <w:rPr>
          <w:rFonts w:ascii="Book Antiqua" w:hAnsi="Book Antiqua" w:cs="Arial"/>
          <w:lang w:val="en-US"/>
        </w:rPr>
      </w:pPr>
    </w:p>
    <w:p w14:paraId="05F3E48C" w14:textId="6CDD45B1" w:rsidR="00FA447B" w:rsidRPr="0059692A" w:rsidRDefault="00FA447B" w:rsidP="004538C4">
      <w:pPr>
        <w:jc w:val="both"/>
        <w:rPr>
          <w:rFonts w:ascii="Book Antiqua" w:hAnsi="Book Antiqua" w:cs="Arial"/>
          <w:lang w:val="en-US"/>
        </w:rPr>
      </w:pPr>
      <w:r w:rsidRPr="0059692A">
        <w:rPr>
          <w:rFonts w:ascii="Book Antiqua" w:hAnsi="Book Antiqua" w:cs="Arial"/>
          <w:lang w:val="en-US"/>
        </w:rPr>
        <w:t xml:space="preserve">The net operating losses for income tax purposes should be the basis and not the amount reflected in the Audited Financial Statements. </w:t>
      </w:r>
    </w:p>
    <w:p w14:paraId="7FC77B8D" w14:textId="22DBD1ED" w:rsidR="000E42CD" w:rsidRPr="0059692A" w:rsidRDefault="000E42CD" w:rsidP="004538C4">
      <w:pPr>
        <w:jc w:val="both"/>
        <w:rPr>
          <w:rFonts w:ascii="Book Antiqua" w:hAnsi="Book Antiqua" w:cs="Arial"/>
          <w:lang w:val="en-US"/>
        </w:rPr>
      </w:pPr>
    </w:p>
    <w:p w14:paraId="14D41626" w14:textId="61D3CAE4" w:rsidR="00E244F0" w:rsidRPr="0059692A" w:rsidRDefault="000E42CD" w:rsidP="004538C4">
      <w:pPr>
        <w:jc w:val="both"/>
        <w:rPr>
          <w:rFonts w:ascii="Book Antiqua" w:hAnsi="Book Antiqua" w:cs="Arial"/>
          <w:lang w:val="en-US"/>
        </w:rPr>
      </w:pPr>
      <w:r w:rsidRPr="0059692A">
        <w:rPr>
          <w:rFonts w:ascii="Book Antiqua" w:hAnsi="Book Antiqua" w:cs="Arial"/>
          <w:lang w:val="en-US"/>
        </w:rPr>
        <w:t xml:space="preserve">Registration fees, business permits and licenses, and taxes, except those enumerated under Section 34(C)(1) of the </w:t>
      </w:r>
      <w:r w:rsidR="00A9009F" w:rsidRPr="0059692A">
        <w:rPr>
          <w:rFonts w:ascii="Book Antiqua" w:hAnsi="Book Antiqua" w:cs="Arial"/>
          <w:lang w:val="en-US"/>
        </w:rPr>
        <w:t>NIRC</w:t>
      </w:r>
      <w:r w:rsidRPr="0059692A">
        <w:rPr>
          <w:rFonts w:ascii="Book Antiqua" w:hAnsi="Book Antiqua" w:cs="Arial"/>
          <w:lang w:val="en-US"/>
        </w:rPr>
        <w:t xml:space="preserve"> are allowable deductions</w:t>
      </w:r>
      <w:r w:rsidR="00665AC8" w:rsidRPr="0059692A">
        <w:rPr>
          <w:rFonts w:ascii="Book Antiqua" w:hAnsi="Book Antiqua" w:cs="Arial"/>
          <w:lang w:val="en-US"/>
        </w:rPr>
        <w:t xml:space="preserve"> and should be considered in computing the net operating loss. </w:t>
      </w:r>
    </w:p>
    <w:p w14:paraId="060301C3" w14:textId="77777777" w:rsidR="00E244F0" w:rsidRPr="0059692A" w:rsidRDefault="00E244F0" w:rsidP="004538C4">
      <w:pPr>
        <w:jc w:val="both"/>
        <w:rPr>
          <w:rFonts w:ascii="Book Antiqua" w:hAnsi="Book Antiqua" w:cs="Arial"/>
          <w:lang w:val="en-US"/>
        </w:rPr>
      </w:pPr>
    </w:p>
    <w:p w14:paraId="29DAE45B" w14:textId="77777777" w:rsidR="00B10100" w:rsidRPr="0059692A" w:rsidRDefault="00E244F0" w:rsidP="004538C4">
      <w:pPr>
        <w:jc w:val="both"/>
        <w:rPr>
          <w:rFonts w:ascii="Book Antiqua" w:hAnsi="Book Antiqua" w:cs="Arial"/>
          <w:lang w:val="en-US"/>
        </w:rPr>
      </w:pPr>
      <w:r w:rsidRPr="0059692A">
        <w:rPr>
          <w:rFonts w:ascii="Book Antiqua" w:hAnsi="Book Antiqua" w:cs="Arial"/>
          <w:lang w:val="en-US"/>
        </w:rPr>
        <w:t xml:space="preserve">The materiality threshold is only relevant in determining who are required to prepare Transfer Pricing Documentation (“TPD”). </w:t>
      </w:r>
      <w:r w:rsidR="002338A3" w:rsidRPr="0059692A">
        <w:rPr>
          <w:rFonts w:ascii="Book Antiqua" w:hAnsi="Book Antiqua" w:cs="Arial"/>
          <w:lang w:val="en-US"/>
        </w:rPr>
        <w:t xml:space="preserve">A taxpayer </w:t>
      </w:r>
      <w:r w:rsidR="00B10100" w:rsidRPr="0059692A">
        <w:rPr>
          <w:rFonts w:ascii="Book Antiqua" w:hAnsi="Book Antiqua" w:cs="Arial"/>
          <w:lang w:val="en-US"/>
        </w:rPr>
        <w:t xml:space="preserve">who is required to file an RPT Form must disclose all related party transactions irrespective of the amount. </w:t>
      </w:r>
    </w:p>
    <w:p w14:paraId="7184C5F8" w14:textId="77777777" w:rsidR="00B10100" w:rsidRPr="0059692A" w:rsidRDefault="00B10100" w:rsidP="004538C4">
      <w:pPr>
        <w:jc w:val="both"/>
        <w:rPr>
          <w:rFonts w:ascii="Book Antiqua" w:hAnsi="Book Antiqua" w:cs="Arial"/>
          <w:lang w:val="en-US"/>
        </w:rPr>
      </w:pPr>
    </w:p>
    <w:p w14:paraId="63FA9C68" w14:textId="7319E8B5" w:rsidR="00B10100" w:rsidRPr="0059692A" w:rsidRDefault="00B10100" w:rsidP="004538C4">
      <w:pPr>
        <w:jc w:val="both"/>
        <w:rPr>
          <w:rFonts w:ascii="Book Antiqua" w:hAnsi="Book Antiqua" w:cs="Arial"/>
          <w:lang w:val="en-US"/>
        </w:rPr>
      </w:pPr>
      <w:r w:rsidRPr="0059692A">
        <w:rPr>
          <w:rFonts w:ascii="Book Antiqua" w:hAnsi="Book Antiqua" w:cs="Arial"/>
          <w:lang w:val="en-US"/>
        </w:rPr>
        <w:t xml:space="preserve">In filing out the RPT Form, if possible, similar transactions with the same related party must be aggregated. </w:t>
      </w:r>
    </w:p>
    <w:p w14:paraId="440160C3" w14:textId="03EA002C" w:rsidR="00576C21" w:rsidRPr="0059692A" w:rsidRDefault="00576C21" w:rsidP="004538C4">
      <w:pPr>
        <w:jc w:val="both"/>
        <w:rPr>
          <w:rFonts w:ascii="Book Antiqua" w:hAnsi="Book Antiqua" w:cs="Arial"/>
          <w:lang w:val="en-US"/>
        </w:rPr>
      </w:pPr>
    </w:p>
    <w:p w14:paraId="4315379B" w14:textId="1383F325" w:rsidR="00576C21" w:rsidRPr="0059692A" w:rsidRDefault="00576C21" w:rsidP="004538C4">
      <w:pPr>
        <w:jc w:val="both"/>
        <w:rPr>
          <w:rFonts w:ascii="Book Antiqua" w:hAnsi="Book Antiqua" w:cs="Arial"/>
          <w:lang w:val="en-US"/>
        </w:rPr>
      </w:pPr>
      <w:r w:rsidRPr="0059692A">
        <w:rPr>
          <w:rFonts w:ascii="Book Antiqua" w:hAnsi="Book Antiqua" w:cs="Arial"/>
          <w:lang w:val="en-US"/>
        </w:rPr>
        <w:t xml:space="preserve">The TPD and other supporting documents shall no longer be attached to the RPF </w:t>
      </w:r>
      <w:proofErr w:type="gramStart"/>
      <w:r w:rsidRPr="0059692A">
        <w:rPr>
          <w:rFonts w:ascii="Book Antiqua" w:hAnsi="Book Antiqua" w:cs="Arial"/>
          <w:lang w:val="en-US"/>
        </w:rPr>
        <w:t>Form, but</w:t>
      </w:r>
      <w:proofErr w:type="gramEnd"/>
      <w:r w:rsidRPr="0059692A">
        <w:rPr>
          <w:rFonts w:ascii="Book Antiqua" w:hAnsi="Book Antiqua" w:cs="Arial"/>
          <w:lang w:val="en-US"/>
        </w:rPr>
        <w:t xml:space="preserve"> shall be made available during audit. </w:t>
      </w:r>
    </w:p>
    <w:p w14:paraId="481385B1" w14:textId="2FFCBA6F" w:rsidR="00576C21" w:rsidRPr="0059692A" w:rsidRDefault="00576C21" w:rsidP="004538C4">
      <w:pPr>
        <w:jc w:val="both"/>
        <w:rPr>
          <w:rFonts w:ascii="Book Antiqua" w:hAnsi="Book Antiqua" w:cs="Arial"/>
          <w:lang w:val="en-US"/>
        </w:rPr>
      </w:pPr>
    </w:p>
    <w:p w14:paraId="0D88F3B8" w14:textId="4D1D632C" w:rsidR="00576C21" w:rsidRPr="0059692A" w:rsidRDefault="00576C21" w:rsidP="004538C4">
      <w:pPr>
        <w:jc w:val="both"/>
        <w:rPr>
          <w:rFonts w:ascii="Book Antiqua" w:hAnsi="Book Antiqua" w:cs="Arial"/>
          <w:lang w:val="en-US"/>
        </w:rPr>
      </w:pPr>
      <w:r w:rsidRPr="0059692A">
        <w:rPr>
          <w:rFonts w:ascii="Book Antiqua" w:hAnsi="Book Antiqua" w:cs="Arial"/>
          <w:lang w:val="en-US"/>
        </w:rPr>
        <w:t xml:space="preserve">A reasonable estimate of the related party transaction is insufficient. No less than the actual amounts of the related party transactions shall be declared in the RPT Form, as it </w:t>
      </w:r>
      <w:r w:rsidRPr="0059692A">
        <w:rPr>
          <w:rFonts w:ascii="Book Antiqua" w:hAnsi="Book Antiqua" w:cs="Arial"/>
          <w:lang w:val="en-US"/>
        </w:rPr>
        <w:lastRenderedPageBreak/>
        <w:t xml:space="preserve">contains a perjury clause whereby the taxpayer or its duly authorized representatives attests to the truthfulness of the facts stated therein. </w:t>
      </w:r>
    </w:p>
    <w:p w14:paraId="7B7271BD" w14:textId="708248EF" w:rsidR="00576C21" w:rsidRPr="0059692A" w:rsidRDefault="00576C21" w:rsidP="004538C4">
      <w:pPr>
        <w:jc w:val="both"/>
        <w:rPr>
          <w:rFonts w:ascii="Book Antiqua" w:hAnsi="Book Antiqua" w:cs="Arial"/>
          <w:lang w:val="en-US"/>
        </w:rPr>
      </w:pPr>
    </w:p>
    <w:p w14:paraId="5134DA9B" w14:textId="4941F88A" w:rsidR="00576C21" w:rsidRPr="0059692A" w:rsidRDefault="00C7095C" w:rsidP="004538C4">
      <w:pPr>
        <w:jc w:val="both"/>
        <w:rPr>
          <w:rFonts w:ascii="Book Antiqua" w:hAnsi="Book Antiqua" w:cs="Arial"/>
          <w:lang w:val="en-US"/>
        </w:rPr>
      </w:pPr>
      <w:r w:rsidRPr="0059692A">
        <w:rPr>
          <w:rFonts w:ascii="Book Antiqua" w:hAnsi="Book Antiqua" w:cs="Arial"/>
          <w:lang w:val="en-US"/>
        </w:rPr>
        <w:t xml:space="preserve">The filing of RPT Form shall only be </w:t>
      </w:r>
      <w:r w:rsidR="00DA1756" w:rsidRPr="0059692A">
        <w:rPr>
          <w:rFonts w:ascii="Book Antiqua" w:hAnsi="Book Antiqua" w:cs="Arial"/>
          <w:lang w:val="en-US"/>
        </w:rPr>
        <w:t>mandatory</w:t>
      </w:r>
      <w:r w:rsidRPr="0059692A">
        <w:rPr>
          <w:rFonts w:ascii="Book Antiqua" w:hAnsi="Book Antiqua" w:cs="Arial"/>
          <w:lang w:val="en-US"/>
        </w:rPr>
        <w:t xml:space="preserve"> </w:t>
      </w:r>
      <w:r w:rsidR="00A17A2F" w:rsidRPr="0059692A">
        <w:rPr>
          <w:rFonts w:ascii="Book Antiqua" w:hAnsi="Book Antiqua" w:cs="Arial"/>
          <w:lang w:val="en-US"/>
        </w:rPr>
        <w:t xml:space="preserve">for short period returns that are originally required by law or existing revenue issuances to be filed in 2021 and subsequent years. </w:t>
      </w:r>
    </w:p>
    <w:p w14:paraId="02E89629" w14:textId="2FD55612" w:rsidR="00A17A2F" w:rsidRPr="0059692A" w:rsidRDefault="00A17A2F" w:rsidP="004538C4">
      <w:pPr>
        <w:jc w:val="both"/>
        <w:rPr>
          <w:rFonts w:ascii="Book Antiqua" w:hAnsi="Book Antiqua" w:cs="Arial"/>
          <w:lang w:val="en-US"/>
        </w:rPr>
      </w:pPr>
    </w:p>
    <w:p w14:paraId="2653CCB5" w14:textId="101F93F9" w:rsidR="00A17A2F" w:rsidRPr="0059692A" w:rsidRDefault="008D77C9" w:rsidP="004538C4">
      <w:pPr>
        <w:jc w:val="both"/>
        <w:rPr>
          <w:rFonts w:ascii="Book Antiqua" w:hAnsi="Book Antiqua" w:cs="Arial"/>
          <w:lang w:val="en-US"/>
        </w:rPr>
      </w:pPr>
      <w:r w:rsidRPr="0059692A">
        <w:rPr>
          <w:rFonts w:ascii="Book Antiqua" w:hAnsi="Book Antiqua" w:cs="Arial"/>
          <w:lang w:val="en-US"/>
        </w:rPr>
        <w:t xml:space="preserve">If the taxpayer is not required to file the RPT Form, then it is also not mandated to prepare a TPD </w:t>
      </w:r>
      <w:r w:rsidR="00003146" w:rsidRPr="0059692A">
        <w:rPr>
          <w:rFonts w:ascii="Book Antiqua" w:hAnsi="Book Antiqua" w:cs="Arial"/>
          <w:lang w:val="en-US"/>
        </w:rPr>
        <w:t xml:space="preserve">even if </w:t>
      </w:r>
      <w:r w:rsidR="00235DCA" w:rsidRPr="0059692A">
        <w:rPr>
          <w:rFonts w:ascii="Book Antiqua" w:hAnsi="Book Antiqua" w:cs="Arial"/>
          <w:lang w:val="en-US"/>
        </w:rPr>
        <w:t>it satisfies</w:t>
      </w:r>
      <w:r w:rsidR="00003146" w:rsidRPr="0059692A">
        <w:rPr>
          <w:rFonts w:ascii="Book Antiqua" w:hAnsi="Book Antiqua" w:cs="Arial"/>
          <w:lang w:val="en-US"/>
        </w:rPr>
        <w:t xml:space="preserve"> the materiality threshold. </w:t>
      </w:r>
    </w:p>
    <w:p w14:paraId="7047FF15" w14:textId="1511C803" w:rsidR="00003146" w:rsidRPr="0059692A" w:rsidRDefault="00003146" w:rsidP="004538C4">
      <w:pPr>
        <w:jc w:val="both"/>
        <w:rPr>
          <w:rFonts w:ascii="Book Antiqua" w:hAnsi="Book Antiqua" w:cs="Arial"/>
          <w:lang w:val="en-US"/>
        </w:rPr>
      </w:pPr>
    </w:p>
    <w:p w14:paraId="6632C679" w14:textId="1B82BD15" w:rsidR="00003146" w:rsidRPr="0059692A" w:rsidRDefault="00003146" w:rsidP="004538C4">
      <w:pPr>
        <w:jc w:val="both"/>
        <w:rPr>
          <w:rFonts w:ascii="Book Antiqua" w:hAnsi="Book Antiqua" w:cs="Arial"/>
          <w:lang w:val="en-US"/>
        </w:rPr>
      </w:pPr>
      <w:r w:rsidRPr="0059692A">
        <w:rPr>
          <w:rFonts w:ascii="Book Antiqua" w:hAnsi="Book Antiqua" w:cs="Arial"/>
          <w:lang w:val="en-US"/>
        </w:rPr>
        <w:t xml:space="preserve">The following taxpayers are required to prepare a TPD: (a) those with annual gross sales/revenue for the subject taxable period exceeding Php 150,000,000 and the total </w:t>
      </w:r>
      <w:r w:rsidR="00684F8B" w:rsidRPr="0059692A">
        <w:rPr>
          <w:rFonts w:ascii="Book Antiqua" w:hAnsi="Book Antiqua" w:cs="Arial"/>
          <w:lang w:val="en-US"/>
        </w:rPr>
        <w:t>amount</w:t>
      </w:r>
      <w:r w:rsidRPr="0059692A">
        <w:rPr>
          <w:rFonts w:ascii="Book Antiqua" w:hAnsi="Book Antiqua" w:cs="Arial"/>
          <w:lang w:val="en-US"/>
        </w:rPr>
        <w:t xml:space="preserve"> of related party transactions with foreign and domestic related parties exceed Php 90,000,000; (b) sale of tangible goods involving the same related party exceeding Php 60,000,000</w:t>
      </w:r>
      <w:r w:rsidR="00684F8B" w:rsidRPr="0059692A">
        <w:rPr>
          <w:rFonts w:ascii="Book Antiqua" w:hAnsi="Book Antiqua" w:cs="Arial"/>
          <w:lang w:val="en-US"/>
        </w:rPr>
        <w:t>; (c) service transaction, payment of interest, utilization of intangible goods or other related party transaction involving the same related party exceeding Php 15,000,000 within the taxable year</w:t>
      </w:r>
      <w:r w:rsidR="009F7927" w:rsidRPr="0059692A">
        <w:rPr>
          <w:rFonts w:ascii="Book Antiqua" w:hAnsi="Book Antiqua" w:cs="Arial"/>
          <w:lang w:val="en-US"/>
        </w:rPr>
        <w:t xml:space="preserve">; or (d) if TPD was required to be prepared during the immediately preceding taxable period for exceeding (a) to (c). </w:t>
      </w:r>
    </w:p>
    <w:p w14:paraId="019C88C7" w14:textId="6D37EBF8" w:rsidR="00C4680A" w:rsidRPr="0059692A" w:rsidRDefault="00C4680A" w:rsidP="004538C4">
      <w:pPr>
        <w:jc w:val="both"/>
        <w:rPr>
          <w:rFonts w:ascii="Book Antiqua" w:hAnsi="Book Antiqua" w:cs="Arial"/>
          <w:lang w:val="en-US"/>
        </w:rPr>
      </w:pPr>
    </w:p>
    <w:p w14:paraId="15647359" w14:textId="47D231C0" w:rsidR="00C4680A" w:rsidRPr="0059692A" w:rsidRDefault="00C4680A" w:rsidP="004538C4">
      <w:pPr>
        <w:jc w:val="both"/>
        <w:rPr>
          <w:rFonts w:ascii="Book Antiqua" w:hAnsi="Book Antiqua" w:cs="Arial"/>
          <w:lang w:val="en-US"/>
        </w:rPr>
      </w:pPr>
      <w:r w:rsidRPr="0059692A">
        <w:rPr>
          <w:rFonts w:ascii="Book Antiqua" w:hAnsi="Book Antiqua" w:cs="Arial"/>
          <w:lang w:val="en-US"/>
        </w:rPr>
        <w:t xml:space="preserve">The annual gross sales or revenues referred to under Section 3(a) of RR No. 34-2020 is the amount of gross sales/receipts/revenues/fees reported in the AITR, irrespective of the source and identity of the other party of to the transaction. </w:t>
      </w:r>
    </w:p>
    <w:p w14:paraId="65CB7E6C" w14:textId="4ABDCFBF" w:rsidR="00C4680A" w:rsidRPr="0059692A" w:rsidRDefault="00C4680A" w:rsidP="004538C4">
      <w:pPr>
        <w:jc w:val="both"/>
        <w:rPr>
          <w:rFonts w:ascii="Book Antiqua" w:hAnsi="Book Antiqua" w:cs="Arial"/>
          <w:lang w:val="en-US"/>
        </w:rPr>
      </w:pPr>
    </w:p>
    <w:p w14:paraId="6ED7BC68" w14:textId="3415BF1A" w:rsidR="00C4680A" w:rsidRPr="0059692A" w:rsidRDefault="00C4680A" w:rsidP="004538C4">
      <w:pPr>
        <w:jc w:val="both"/>
        <w:rPr>
          <w:rFonts w:ascii="Book Antiqua" w:hAnsi="Book Antiqua" w:cs="Arial"/>
          <w:lang w:val="en-US"/>
        </w:rPr>
      </w:pPr>
      <w:r w:rsidRPr="0059692A">
        <w:rPr>
          <w:rFonts w:ascii="Book Antiqua" w:hAnsi="Book Antiqua" w:cs="Arial"/>
          <w:lang w:val="en-US"/>
        </w:rPr>
        <w:t>In computing the total amount of related party transactions with foreign and domestic related parties, the following items shall be</w:t>
      </w:r>
      <w:r w:rsidR="00C930D4" w:rsidRPr="0059692A">
        <w:rPr>
          <w:rFonts w:ascii="Book Antiqua" w:hAnsi="Book Antiqua" w:cs="Arial"/>
          <w:lang w:val="en-US"/>
        </w:rPr>
        <w:t xml:space="preserve"> </w:t>
      </w:r>
      <w:proofErr w:type="spellStart"/>
      <w:r w:rsidR="00C930D4" w:rsidRPr="0059692A">
        <w:rPr>
          <w:rFonts w:ascii="Book Antiqua" w:hAnsi="Book Antiqua" w:cs="Arial"/>
          <w:lang w:val="en-US"/>
        </w:rPr>
        <w:t>totalled</w:t>
      </w:r>
      <w:proofErr w:type="spellEnd"/>
      <w:r w:rsidRPr="0059692A">
        <w:rPr>
          <w:rFonts w:ascii="Book Antiqua" w:hAnsi="Book Antiqua" w:cs="Arial"/>
          <w:lang w:val="en-US"/>
        </w:rPr>
        <w:t xml:space="preserve">: (a) amounts received and/or receivable from related parties during the taxable year; (b) amounts paid and/or payable to related parties during the taxable year; and (c) outstanding balances of loans and non-trade amounts due from/to all related parties. Any compensation paid to key management personnel, dividends, and branch profit remittances shall not be included in the computation. </w:t>
      </w:r>
    </w:p>
    <w:p w14:paraId="1A642094" w14:textId="61014863" w:rsidR="00B10100" w:rsidRPr="0059692A" w:rsidRDefault="00B10100" w:rsidP="004538C4">
      <w:pPr>
        <w:jc w:val="both"/>
        <w:rPr>
          <w:rFonts w:ascii="Book Antiqua" w:hAnsi="Book Antiqua" w:cs="Arial"/>
          <w:lang w:val="en-US"/>
        </w:rPr>
      </w:pPr>
    </w:p>
    <w:p w14:paraId="0942FB2C" w14:textId="5244390A" w:rsidR="00925C6C" w:rsidRPr="0059692A" w:rsidRDefault="00925C6C" w:rsidP="004538C4">
      <w:pPr>
        <w:jc w:val="both"/>
        <w:rPr>
          <w:rFonts w:ascii="Book Antiqua" w:hAnsi="Book Antiqua" w:cs="Arial"/>
          <w:lang w:val="en-US"/>
        </w:rPr>
      </w:pPr>
      <w:r w:rsidRPr="0059692A">
        <w:rPr>
          <w:rFonts w:ascii="Book Antiqua" w:hAnsi="Book Antiqua" w:cs="Arial"/>
          <w:lang w:val="en-US"/>
        </w:rPr>
        <w:t xml:space="preserve">Share in the net income of an associate, </w:t>
      </w:r>
      <w:r w:rsidRPr="0059692A">
        <w:rPr>
          <w:rFonts w:ascii="Book Antiqua" w:hAnsi="Book Antiqua" w:cs="Arial"/>
          <w:i/>
          <w:iCs/>
          <w:lang w:val="en-US"/>
        </w:rPr>
        <w:t xml:space="preserve">etc. </w:t>
      </w:r>
      <w:r w:rsidRPr="0059692A">
        <w:rPr>
          <w:rFonts w:ascii="Book Antiqua" w:hAnsi="Book Antiqua" w:cs="Arial"/>
          <w:lang w:val="en-US"/>
        </w:rPr>
        <w:t xml:space="preserve">is akin to dividends; therefore, it is not required to be reported in the RPT Form. </w:t>
      </w:r>
    </w:p>
    <w:p w14:paraId="661134C2" w14:textId="1E4D063B" w:rsidR="000E42CD" w:rsidRPr="0059692A" w:rsidRDefault="000E42CD" w:rsidP="004538C4">
      <w:pPr>
        <w:jc w:val="both"/>
        <w:rPr>
          <w:rFonts w:ascii="Book Antiqua" w:hAnsi="Book Antiqua" w:cs="Arial"/>
          <w:lang w:val="en-US"/>
        </w:rPr>
      </w:pPr>
      <w:r w:rsidRPr="0059692A">
        <w:rPr>
          <w:rFonts w:ascii="Book Antiqua" w:hAnsi="Book Antiqua" w:cs="Arial"/>
          <w:lang w:val="en-US"/>
        </w:rPr>
        <w:t xml:space="preserve"> </w:t>
      </w:r>
    </w:p>
    <w:p w14:paraId="0BF4D7DC" w14:textId="4051A49D" w:rsidR="00925C6C" w:rsidRPr="0059692A" w:rsidRDefault="00925C6C" w:rsidP="004538C4">
      <w:pPr>
        <w:jc w:val="both"/>
        <w:rPr>
          <w:rFonts w:ascii="Book Antiqua" w:hAnsi="Book Antiqua" w:cs="Arial"/>
          <w:lang w:val="en-US"/>
        </w:rPr>
      </w:pPr>
      <w:r w:rsidRPr="0059692A">
        <w:rPr>
          <w:rFonts w:ascii="Book Antiqua" w:hAnsi="Book Antiqua" w:cs="Arial"/>
          <w:lang w:val="en-US"/>
        </w:rPr>
        <w:t xml:space="preserve">If the taxpayer fails to provide any material information, </w:t>
      </w:r>
      <w:r w:rsidR="008B479C" w:rsidRPr="0059692A">
        <w:rPr>
          <w:rFonts w:ascii="Book Antiqua" w:hAnsi="Book Antiqua" w:cs="Arial"/>
          <w:lang w:val="en-US"/>
        </w:rPr>
        <w:t>BIR</w:t>
      </w:r>
      <w:r w:rsidRPr="0059692A">
        <w:rPr>
          <w:rFonts w:ascii="Book Antiqua" w:hAnsi="Book Antiqua" w:cs="Arial"/>
          <w:lang w:val="en-US"/>
        </w:rPr>
        <w:t xml:space="preserve"> will regard the RPT Form as not duly filed and the penalty for failure to file such information return will be imposed. </w:t>
      </w:r>
    </w:p>
    <w:p w14:paraId="1BD88687" w14:textId="5CADAECD" w:rsidR="00925C6C" w:rsidRPr="0059692A" w:rsidRDefault="00925C6C" w:rsidP="004538C4">
      <w:pPr>
        <w:jc w:val="both"/>
        <w:rPr>
          <w:rFonts w:ascii="Book Antiqua" w:hAnsi="Book Antiqua" w:cs="Arial"/>
          <w:lang w:val="en-US"/>
        </w:rPr>
      </w:pPr>
    </w:p>
    <w:p w14:paraId="0E17CC70" w14:textId="29C5E4D7" w:rsidR="00925C6C" w:rsidRPr="0059692A" w:rsidRDefault="00925C6C" w:rsidP="004538C4">
      <w:pPr>
        <w:jc w:val="both"/>
        <w:rPr>
          <w:rFonts w:ascii="Book Antiqua" w:hAnsi="Book Antiqua" w:cs="Arial"/>
          <w:lang w:val="en-US"/>
        </w:rPr>
      </w:pPr>
      <w:r w:rsidRPr="0059692A">
        <w:rPr>
          <w:rFonts w:ascii="Book Antiqua" w:hAnsi="Book Antiqua" w:cs="Arial"/>
          <w:lang w:val="en-US"/>
        </w:rPr>
        <w:t xml:space="preserve">The RPT Form requires the amounts in foreign currency and its equivalent in the local currency. However, if several currencies were used and it seems impractical to indicate all of them in the RPT Form, their equivalent in the local currency should be disclosed instead. </w:t>
      </w:r>
      <w:r w:rsidR="002B5439" w:rsidRPr="0059692A">
        <w:rPr>
          <w:rFonts w:ascii="Book Antiqua" w:hAnsi="Book Antiqua" w:cs="Arial"/>
          <w:lang w:val="en-US"/>
        </w:rPr>
        <w:t xml:space="preserve">in all cases, the exchange rates to be used should be the rate at the transaction date. The same rule applies to the preparation of TPD. </w:t>
      </w:r>
    </w:p>
    <w:p w14:paraId="27E8D829" w14:textId="2AB95E62" w:rsidR="002B5439" w:rsidRPr="0059692A" w:rsidRDefault="002B5439" w:rsidP="004538C4">
      <w:pPr>
        <w:jc w:val="both"/>
        <w:rPr>
          <w:rFonts w:ascii="Book Antiqua" w:hAnsi="Book Antiqua" w:cs="Arial"/>
          <w:lang w:val="en-US"/>
        </w:rPr>
      </w:pPr>
    </w:p>
    <w:p w14:paraId="2466A600" w14:textId="2017A4D7" w:rsidR="002B5439" w:rsidRPr="0059692A" w:rsidRDefault="00D22435" w:rsidP="004538C4">
      <w:pPr>
        <w:jc w:val="both"/>
        <w:rPr>
          <w:rFonts w:ascii="Book Antiqua" w:hAnsi="Book Antiqua" w:cs="Arial"/>
          <w:lang w:val="en-US"/>
        </w:rPr>
      </w:pPr>
      <w:r w:rsidRPr="0059692A">
        <w:rPr>
          <w:rFonts w:ascii="Book Antiqua" w:hAnsi="Book Antiqua" w:cs="Arial"/>
          <w:lang w:val="en-US"/>
        </w:rPr>
        <w:t xml:space="preserve">Through the RPT Forms submitted, the BIR will conduct an initial transfer pricing risk assessment. </w:t>
      </w:r>
    </w:p>
    <w:p w14:paraId="461B9815" w14:textId="2BA63E83" w:rsidR="00391F1F" w:rsidRPr="0059692A" w:rsidRDefault="00391F1F" w:rsidP="004538C4">
      <w:pPr>
        <w:jc w:val="both"/>
        <w:rPr>
          <w:rFonts w:ascii="Book Antiqua" w:hAnsi="Book Antiqua" w:cs="Arial"/>
          <w:lang w:val="en-US"/>
        </w:rPr>
      </w:pPr>
    </w:p>
    <w:p w14:paraId="23B8FC1C" w14:textId="2791EBE1" w:rsidR="00391F1F" w:rsidRPr="0059692A" w:rsidRDefault="00391F1F" w:rsidP="004538C4">
      <w:pPr>
        <w:jc w:val="both"/>
        <w:rPr>
          <w:rFonts w:ascii="Book Antiqua" w:hAnsi="Book Antiqua" w:cs="Arial"/>
          <w:lang w:val="en-US"/>
        </w:rPr>
      </w:pPr>
      <w:r w:rsidRPr="0059692A">
        <w:rPr>
          <w:rFonts w:ascii="Book Antiqua" w:hAnsi="Book Antiqua" w:cs="Arial"/>
          <w:lang w:val="en-US"/>
        </w:rPr>
        <w:t xml:space="preserve">The Advance Pricing Agreement must be approved by the BIR before the covered related party transaction is exempted from the disclosure in the RPT Form. </w:t>
      </w:r>
    </w:p>
    <w:p w14:paraId="2412EFAE" w14:textId="0581B0FE" w:rsidR="00CC479A" w:rsidRPr="0059692A" w:rsidRDefault="00CC479A" w:rsidP="004538C4">
      <w:pPr>
        <w:jc w:val="both"/>
        <w:rPr>
          <w:rFonts w:ascii="Book Antiqua" w:hAnsi="Book Antiqua" w:cs="Arial"/>
          <w:lang w:val="en-US"/>
        </w:rPr>
      </w:pPr>
    </w:p>
    <w:p w14:paraId="5B6FBE63" w14:textId="366F80C7" w:rsidR="00CC479A" w:rsidRPr="0059692A" w:rsidRDefault="00CC479A" w:rsidP="004538C4">
      <w:pPr>
        <w:jc w:val="both"/>
        <w:rPr>
          <w:rFonts w:ascii="Book Antiqua" w:hAnsi="Book Antiqua" w:cs="Arial"/>
          <w:lang w:val="en-US"/>
        </w:rPr>
      </w:pPr>
      <w:r w:rsidRPr="0059692A">
        <w:rPr>
          <w:rFonts w:ascii="Book Antiqua" w:hAnsi="Book Antiqua" w:cs="Arial"/>
          <w:lang w:val="en-US"/>
        </w:rPr>
        <w:t xml:space="preserve">Taxpayers who are not required to file an RPT Form and have already finalized their AFS for </w:t>
      </w:r>
      <w:r w:rsidR="00AE419C" w:rsidRPr="0059692A">
        <w:rPr>
          <w:rFonts w:ascii="Book Antiqua" w:hAnsi="Book Antiqua" w:cs="Arial"/>
          <w:lang w:val="en-US"/>
        </w:rPr>
        <w:t xml:space="preserve">taxable year 2020 prior to the effectivity of RR No. 34-2020 are not expected to comply with the mandate of Section 4 thereof, and cannot, be penalized for non-disclosure. </w:t>
      </w:r>
    </w:p>
    <w:p w14:paraId="09FA37FC" w14:textId="5F426489" w:rsidR="00AE419C" w:rsidRPr="0059692A" w:rsidRDefault="00AE419C" w:rsidP="004538C4">
      <w:pPr>
        <w:jc w:val="both"/>
        <w:rPr>
          <w:rFonts w:ascii="Book Antiqua" w:hAnsi="Book Antiqua" w:cs="Arial"/>
          <w:b/>
          <w:bCs/>
          <w:lang w:val="en-US"/>
        </w:rPr>
      </w:pPr>
    </w:p>
    <w:p w14:paraId="1C7B284B" w14:textId="1A6D2517" w:rsidR="00325762" w:rsidRPr="0059692A" w:rsidRDefault="00AE419C" w:rsidP="00AE419C">
      <w:pPr>
        <w:jc w:val="both"/>
        <w:rPr>
          <w:rFonts w:ascii="Book Antiqua" w:hAnsi="Book Antiqua" w:cs="Arial"/>
          <w:b/>
          <w:bCs/>
          <w:lang w:val="en-US"/>
        </w:rPr>
      </w:pPr>
      <w:r w:rsidRPr="0059692A">
        <w:rPr>
          <w:rFonts w:ascii="Book Antiqua" w:hAnsi="Book Antiqua" w:cs="Arial"/>
          <w:b/>
          <w:bCs/>
          <w:lang w:val="en-US"/>
        </w:rPr>
        <w:t>REVEUE MEMORANDUM CIRCULAR NO. 5</w:t>
      </w:r>
      <w:r w:rsidR="00C7707B" w:rsidRPr="0059692A">
        <w:rPr>
          <w:rFonts w:ascii="Book Antiqua" w:hAnsi="Book Antiqua" w:cs="Arial"/>
          <w:b/>
          <w:bCs/>
          <w:lang w:val="en-US"/>
        </w:rPr>
        <w:t>5</w:t>
      </w:r>
      <w:r w:rsidRPr="0059692A">
        <w:rPr>
          <w:rFonts w:ascii="Book Antiqua" w:hAnsi="Book Antiqua" w:cs="Arial"/>
          <w:b/>
          <w:bCs/>
          <w:lang w:val="en-US"/>
        </w:rPr>
        <w:t xml:space="preserve">-2021 </w:t>
      </w:r>
      <w:r w:rsidR="00C04CC9" w:rsidRPr="0059692A">
        <w:rPr>
          <w:rFonts w:ascii="Book Antiqua" w:hAnsi="Book Antiqua" w:cs="Arial"/>
          <w:b/>
          <w:bCs/>
          <w:lang w:val="en-US"/>
        </w:rPr>
        <w:t>–</w:t>
      </w:r>
      <w:r w:rsidRPr="0059692A">
        <w:rPr>
          <w:rFonts w:ascii="Book Antiqua" w:hAnsi="Book Antiqua" w:cs="Arial"/>
          <w:b/>
          <w:bCs/>
          <w:lang w:val="en-US"/>
        </w:rPr>
        <w:t xml:space="preserve"> </w:t>
      </w:r>
      <w:r w:rsidR="00C7707B" w:rsidRPr="0059692A">
        <w:rPr>
          <w:rFonts w:ascii="Book Antiqua" w:hAnsi="Book Antiqua" w:cs="Arial"/>
          <w:b/>
          <w:bCs/>
          <w:lang w:val="en-US"/>
        </w:rPr>
        <w:t>CIRCU</w:t>
      </w:r>
      <w:r w:rsidR="00C04CC9" w:rsidRPr="0059692A">
        <w:rPr>
          <w:rFonts w:ascii="Book Antiqua" w:hAnsi="Book Antiqua" w:cs="Arial"/>
          <w:b/>
          <w:bCs/>
          <w:lang w:val="en-US"/>
        </w:rPr>
        <w:t>LARIZING THE UPDATED LIST OF BIR FORMS AND ITS VAIALBILITY</w:t>
      </w:r>
      <w:r w:rsidRPr="0059692A">
        <w:rPr>
          <w:rFonts w:ascii="Book Antiqua" w:hAnsi="Book Antiqua" w:cs="Arial"/>
          <w:b/>
          <w:bCs/>
          <w:lang w:val="en-US"/>
        </w:rPr>
        <w:t xml:space="preserve">. April </w:t>
      </w:r>
      <w:r w:rsidR="00C04CC9" w:rsidRPr="0059692A">
        <w:rPr>
          <w:rFonts w:ascii="Book Antiqua" w:hAnsi="Book Antiqua" w:cs="Arial"/>
          <w:b/>
          <w:bCs/>
          <w:lang w:val="en-US"/>
        </w:rPr>
        <w:t>5</w:t>
      </w:r>
      <w:r w:rsidRPr="0059692A">
        <w:rPr>
          <w:rFonts w:ascii="Book Antiqua" w:hAnsi="Book Antiqua" w:cs="Arial"/>
          <w:b/>
          <w:bCs/>
          <w:lang w:val="en-US"/>
        </w:rPr>
        <w:t xml:space="preserve">, 2021. </w:t>
      </w:r>
    </w:p>
    <w:p w14:paraId="6834ABE2" w14:textId="47B2F6B6" w:rsidR="00325762" w:rsidRPr="0059692A" w:rsidRDefault="00325762" w:rsidP="00AE419C">
      <w:pPr>
        <w:jc w:val="both"/>
        <w:rPr>
          <w:rFonts w:ascii="Book Antiqua" w:hAnsi="Book Antiqua" w:cs="Arial"/>
          <w:b/>
          <w:bCs/>
          <w:lang w:val="en-US"/>
        </w:rPr>
      </w:pPr>
    </w:p>
    <w:p w14:paraId="0EE49B44" w14:textId="2963BD11" w:rsidR="0021324E" w:rsidRPr="0059692A" w:rsidRDefault="000F5B32" w:rsidP="00AE419C">
      <w:pPr>
        <w:jc w:val="both"/>
        <w:rPr>
          <w:rFonts w:ascii="Book Antiqua" w:hAnsi="Book Antiqua" w:cs="Arial"/>
        </w:rPr>
      </w:pPr>
      <w:r w:rsidRPr="0059692A">
        <w:rPr>
          <w:rFonts w:ascii="Book Antiqua" w:hAnsi="Book Antiqua" w:cs="Arial"/>
        </w:rPr>
        <w:t>This circularized the updated list of BIR Forms and their availability</w:t>
      </w:r>
      <w:r w:rsidR="00693AEF" w:rsidRPr="0059692A">
        <w:rPr>
          <w:rFonts w:ascii="Book Antiqua" w:hAnsi="Book Antiqua" w:cs="Arial"/>
        </w:rPr>
        <w:t xml:space="preserve">. </w:t>
      </w:r>
    </w:p>
    <w:p w14:paraId="1117B922" w14:textId="1CCC5019" w:rsidR="00AE419C" w:rsidRPr="0059692A" w:rsidRDefault="00AE419C" w:rsidP="004538C4">
      <w:pPr>
        <w:jc w:val="both"/>
        <w:rPr>
          <w:rFonts w:ascii="Book Antiqua" w:hAnsi="Book Antiqua" w:cs="Arial"/>
          <w:b/>
          <w:bCs/>
          <w:lang w:val="en-US"/>
        </w:rPr>
      </w:pPr>
    </w:p>
    <w:p w14:paraId="3E9E56C6" w14:textId="3E2B0255" w:rsidR="00B84EAB" w:rsidRPr="0059692A" w:rsidRDefault="00B84EAB" w:rsidP="00B84EAB">
      <w:pPr>
        <w:jc w:val="both"/>
        <w:rPr>
          <w:rFonts w:ascii="Book Antiqua" w:hAnsi="Book Antiqua" w:cs="Arial"/>
          <w:b/>
          <w:bCs/>
          <w:lang w:val="en-US"/>
        </w:rPr>
      </w:pPr>
      <w:r w:rsidRPr="0059692A">
        <w:rPr>
          <w:rFonts w:ascii="Book Antiqua" w:hAnsi="Book Antiqua" w:cs="Arial"/>
          <w:b/>
          <w:bCs/>
          <w:lang w:val="en-US"/>
        </w:rPr>
        <w:t xml:space="preserve">REVEUE MEMORANDUM CIRCULAR NO. 56-2021 – CIRCULARIZING THE </w:t>
      </w:r>
      <w:r w:rsidR="00CF00FF" w:rsidRPr="0059692A">
        <w:rPr>
          <w:rFonts w:ascii="Book Antiqua" w:hAnsi="Book Antiqua" w:cs="Arial"/>
          <w:b/>
          <w:bCs/>
          <w:lang w:val="en-US"/>
        </w:rPr>
        <w:t>IMPLEMENTING RULES AND REGULATIONS (“IRR”) OF SECTION 4(NNN) OF REPUBLIC ACT 11494, OTHERWISE KNOWN AS “THE BAYANIHAN TO RECOVER AS ONE ACT.”</w:t>
      </w:r>
      <w:r w:rsidRPr="0059692A">
        <w:rPr>
          <w:rFonts w:ascii="Book Antiqua" w:hAnsi="Book Antiqua" w:cs="Arial"/>
          <w:b/>
          <w:bCs/>
          <w:lang w:val="en-US"/>
        </w:rPr>
        <w:t xml:space="preserve"> </w:t>
      </w:r>
      <w:r w:rsidR="00CF00FF" w:rsidRPr="0059692A">
        <w:rPr>
          <w:rFonts w:ascii="Book Antiqua" w:hAnsi="Book Antiqua" w:cs="Arial"/>
          <w:b/>
          <w:bCs/>
          <w:lang w:val="en-US"/>
        </w:rPr>
        <w:t>May 3</w:t>
      </w:r>
      <w:r w:rsidRPr="0059692A">
        <w:rPr>
          <w:rFonts w:ascii="Book Antiqua" w:hAnsi="Book Antiqua" w:cs="Arial"/>
          <w:b/>
          <w:bCs/>
          <w:lang w:val="en-US"/>
        </w:rPr>
        <w:t xml:space="preserve">, 2021. </w:t>
      </w:r>
    </w:p>
    <w:p w14:paraId="3F910F15" w14:textId="717A7BCC" w:rsidR="00135D5B" w:rsidRPr="0059692A" w:rsidRDefault="00135D5B" w:rsidP="00B84EAB">
      <w:pPr>
        <w:jc w:val="both"/>
        <w:rPr>
          <w:rFonts w:ascii="Book Antiqua" w:hAnsi="Book Antiqua" w:cs="Arial"/>
          <w:b/>
          <w:bCs/>
          <w:lang w:val="en-US"/>
        </w:rPr>
      </w:pPr>
    </w:p>
    <w:p w14:paraId="2FE6FDD0" w14:textId="4799DAE7" w:rsidR="00355A26" w:rsidRPr="0059692A" w:rsidRDefault="00696D92" w:rsidP="00B84EAB">
      <w:pPr>
        <w:jc w:val="both"/>
        <w:rPr>
          <w:rFonts w:ascii="Book Antiqua" w:hAnsi="Book Antiqua" w:cs="Arial"/>
        </w:rPr>
      </w:pPr>
      <w:r w:rsidRPr="0059692A">
        <w:rPr>
          <w:rFonts w:ascii="Book Antiqua" w:hAnsi="Book Antiqua" w:cs="Arial"/>
        </w:rPr>
        <w:t>This c</w:t>
      </w:r>
      <w:r w:rsidRPr="00696D92">
        <w:rPr>
          <w:rFonts w:ascii="Book Antiqua" w:hAnsi="Book Antiqua" w:cs="Arial"/>
        </w:rPr>
        <w:t>ircularize</w:t>
      </w:r>
      <w:r w:rsidRPr="0059692A">
        <w:rPr>
          <w:rFonts w:ascii="Book Antiqua" w:hAnsi="Book Antiqua" w:cs="Arial"/>
        </w:rPr>
        <w:t xml:space="preserve">d </w:t>
      </w:r>
      <w:r w:rsidRPr="00696D92">
        <w:rPr>
          <w:rFonts w:ascii="Book Antiqua" w:hAnsi="Book Antiqua" w:cs="Arial"/>
        </w:rPr>
        <w:t>the Implementing Rules and Regulations of Section 4 (</w:t>
      </w:r>
      <w:proofErr w:type="spellStart"/>
      <w:r w:rsidRPr="00696D92">
        <w:rPr>
          <w:rFonts w:ascii="Book Antiqua" w:hAnsi="Book Antiqua" w:cs="Arial"/>
        </w:rPr>
        <w:t>nnn</w:t>
      </w:r>
      <w:proofErr w:type="spellEnd"/>
      <w:r w:rsidRPr="00696D92">
        <w:rPr>
          <w:rFonts w:ascii="Book Antiqua" w:hAnsi="Book Antiqua" w:cs="Arial"/>
        </w:rPr>
        <w:t>) of Republic Act No. 11494</w:t>
      </w:r>
      <w:r w:rsidRPr="0059692A">
        <w:rPr>
          <w:rFonts w:ascii="Book Antiqua" w:hAnsi="Book Antiqua" w:cs="Arial"/>
        </w:rPr>
        <w:t xml:space="preserve">, otherwise known as the </w:t>
      </w:r>
      <w:r w:rsidR="00635A2C" w:rsidRPr="0059692A">
        <w:rPr>
          <w:rFonts w:ascii="Book Antiqua" w:hAnsi="Book Antiqua" w:cs="Arial"/>
        </w:rPr>
        <w:t>“</w:t>
      </w:r>
      <w:proofErr w:type="spellStart"/>
      <w:r w:rsidRPr="00696D92">
        <w:rPr>
          <w:rFonts w:ascii="Book Antiqua" w:hAnsi="Book Antiqua" w:cs="Arial"/>
        </w:rPr>
        <w:t>Bayanihan</w:t>
      </w:r>
      <w:proofErr w:type="spellEnd"/>
      <w:r w:rsidRPr="00696D92">
        <w:rPr>
          <w:rFonts w:ascii="Book Antiqua" w:hAnsi="Book Antiqua" w:cs="Arial"/>
        </w:rPr>
        <w:t xml:space="preserve"> to Recover as One Ac</w:t>
      </w:r>
      <w:r w:rsidR="00635A2C" w:rsidRPr="0059692A">
        <w:rPr>
          <w:rFonts w:ascii="Book Antiqua" w:hAnsi="Book Antiqua" w:cs="Arial"/>
        </w:rPr>
        <w:t>t</w:t>
      </w:r>
      <w:r w:rsidRPr="0059692A">
        <w:rPr>
          <w:rFonts w:ascii="Book Antiqua" w:hAnsi="Book Antiqua" w:cs="Arial"/>
        </w:rPr>
        <w:t>,</w:t>
      </w:r>
      <w:r w:rsidR="00635A2C" w:rsidRPr="0059692A">
        <w:rPr>
          <w:rFonts w:ascii="Book Antiqua" w:hAnsi="Book Antiqua" w:cs="Arial"/>
        </w:rPr>
        <w:t>”</w:t>
      </w:r>
      <w:r w:rsidRPr="0059692A">
        <w:rPr>
          <w:rFonts w:ascii="Book Antiqua" w:hAnsi="Book Antiqua" w:cs="Arial"/>
        </w:rPr>
        <w:t xml:space="preserve"> promulgated </w:t>
      </w:r>
      <w:r w:rsidR="00355A26" w:rsidRPr="0059692A">
        <w:rPr>
          <w:rStyle w:val="CommentReference"/>
          <w:rFonts w:ascii="Book Antiqua" w:hAnsi="Book Antiqua" w:cs="Arial"/>
          <w:sz w:val="24"/>
          <w:szCs w:val="24"/>
        </w:rPr>
        <w:t>by the Department of Trade and Industry, Department of Finance, and Department of Environment and Natural Resources.</w:t>
      </w:r>
      <w:r w:rsidR="005174BD" w:rsidRPr="0059692A">
        <w:rPr>
          <w:rStyle w:val="CommentReference"/>
          <w:rFonts w:ascii="Book Antiqua" w:hAnsi="Book Antiqua" w:cs="Arial"/>
          <w:sz w:val="24"/>
          <w:szCs w:val="24"/>
        </w:rPr>
        <w:t xml:space="preserve"> </w:t>
      </w:r>
    </w:p>
    <w:p w14:paraId="00FC6E4A" w14:textId="77777777" w:rsidR="00355A26" w:rsidRPr="0059692A" w:rsidRDefault="00355A26" w:rsidP="00B84EAB">
      <w:pPr>
        <w:jc w:val="both"/>
        <w:rPr>
          <w:rFonts w:ascii="Book Antiqua" w:hAnsi="Book Antiqua" w:cs="Arial"/>
          <w:b/>
          <w:bCs/>
          <w:lang w:val="en-US"/>
        </w:rPr>
      </w:pPr>
    </w:p>
    <w:p w14:paraId="56F273D8" w14:textId="385DAC92" w:rsidR="0038567A" w:rsidRPr="0059692A" w:rsidRDefault="00B84EAB" w:rsidP="0050485F">
      <w:pPr>
        <w:jc w:val="both"/>
        <w:rPr>
          <w:rFonts w:ascii="Book Antiqua" w:hAnsi="Book Antiqua" w:cs="Arial"/>
          <w:b/>
          <w:bCs/>
          <w:lang w:val="en-US"/>
        </w:rPr>
      </w:pPr>
      <w:r w:rsidRPr="0059692A">
        <w:rPr>
          <w:rFonts w:ascii="Book Antiqua" w:hAnsi="Book Antiqua" w:cs="Arial"/>
          <w:b/>
          <w:bCs/>
          <w:lang w:val="en-US"/>
        </w:rPr>
        <w:t>REVEUE MEMORANDUM CIRCULAR NO. 5</w:t>
      </w:r>
      <w:r w:rsidR="0038567A" w:rsidRPr="0059692A">
        <w:rPr>
          <w:rFonts w:ascii="Book Antiqua" w:hAnsi="Book Antiqua" w:cs="Arial"/>
          <w:b/>
          <w:bCs/>
          <w:lang w:val="en-US"/>
        </w:rPr>
        <w:t>7</w:t>
      </w:r>
      <w:r w:rsidRPr="0059692A">
        <w:rPr>
          <w:rFonts w:ascii="Book Antiqua" w:hAnsi="Book Antiqua" w:cs="Arial"/>
          <w:b/>
          <w:bCs/>
          <w:lang w:val="en-US"/>
        </w:rPr>
        <w:t>-2021 –</w:t>
      </w:r>
      <w:r w:rsidR="0038567A" w:rsidRPr="0059692A">
        <w:rPr>
          <w:rFonts w:ascii="Book Antiqua" w:hAnsi="Book Antiqua" w:cs="Arial"/>
          <w:b/>
          <w:bCs/>
          <w:caps/>
          <w:lang w:val="en-US"/>
        </w:rPr>
        <w:t xml:space="preserve"> </w:t>
      </w:r>
      <w:r w:rsidR="0027252E" w:rsidRPr="0059692A">
        <w:rPr>
          <w:rFonts w:ascii="Book Antiqua" w:hAnsi="Book Antiqua" w:cs="Arial"/>
          <w:b/>
          <w:bCs/>
          <w:lang w:val="en-US"/>
        </w:rPr>
        <w:t xml:space="preserve">CIRCULARIZING </w:t>
      </w:r>
      <w:r w:rsidR="0050485F" w:rsidRPr="0059692A">
        <w:rPr>
          <w:rFonts w:ascii="Book Antiqua" w:hAnsi="Book Antiqua" w:cs="Arial"/>
          <w:b/>
          <w:bCs/>
          <w:caps/>
          <w:lang w:val="en-US"/>
        </w:rPr>
        <w:t>Republic Act No. 11523 (An Act Ensuring Philippine Financial Industry Resiliency Against the COVID-19 Pandemic).</w:t>
      </w:r>
      <w:r w:rsidR="0050485F" w:rsidRPr="0059692A">
        <w:rPr>
          <w:rFonts w:ascii="Book Antiqua" w:hAnsi="Book Antiqua" w:cs="Arial"/>
          <w:b/>
          <w:bCs/>
          <w:lang w:val="en-US"/>
        </w:rPr>
        <w:t xml:space="preserve"> May 3, 2021. </w:t>
      </w:r>
    </w:p>
    <w:p w14:paraId="453DF03C" w14:textId="04DC6A93" w:rsidR="0038567A" w:rsidRPr="0059692A" w:rsidRDefault="0038567A" w:rsidP="0038567A">
      <w:pPr>
        <w:ind w:left="720" w:hanging="720"/>
        <w:jc w:val="both"/>
        <w:rPr>
          <w:rFonts w:ascii="Book Antiqua" w:hAnsi="Book Antiqua" w:cs="Arial"/>
        </w:rPr>
      </w:pPr>
    </w:p>
    <w:p w14:paraId="16F13491" w14:textId="43C8823F" w:rsidR="00635A2C" w:rsidRPr="0059692A" w:rsidRDefault="00635A2C" w:rsidP="00635A2C">
      <w:pPr>
        <w:jc w:val="both"/>
        <w:rPr>
          <w:rFonts w:ascii="Book Antiqua" w:hAnsi="Book Antiqua" w:cs="Arial"/>
        </w:rPr>
      </w:pPr>
      <w:r w:rsidRPr="0059692A">
        <w:rPr>
          <w:rFonts w:ascii="Book Antiqua" w:hAnsi="Book Antiqua" w:cs="Arial"/>
        </w:rPr>
        <w:t xml:space="preserve">This circularized Republic Act No. 11523, also known as “An Act Ensuring Philippine Financial Industry Resiliency Against the COVID-19 Pandemic.” </w:t>
      </w:r>
    </w:p>
    <w:p w14:paraId="029E101A" w14:textId="77777777" w:rsidR="00635A2C" w:rsidRPr="0059692A" w:rsidRDefault="00635A2C" w:rsidP="0038567A">
      <w:pPr>
        <w:ind w:left="720" w:hanging="720"/>
        <w:jc w:val="both"/>
        <w:rPr>
          <w:rFonts w:ascii="Book Antiqua" w:hAnsi="Book Antiqua" w:cs="Arial"/>
          <w:b/>
          <w:bCs/>
          <w:lang w:val="en-US"/>
        </w:rPr>
      </w:pPr>
    </w:p>
    <w:p w14:paraId="7BCFD3A0" w14:textId="330CDD66" w:rsidR="0027252E" w:rsidRPr="0059692A" w:rsidRDefault="00B84EAB" w:rsidP="0027252E">
      <w:pPr>
        <w:jc w:val="both"/>
        <w:rPr>
          <w:rFonts w:ascii="Book Antiqua" w:hAnsi="Book Antiqua" w:cs="Arial"/>
          <w:b/>
          <w:bCs/>
          <w:color w:val="222222"/>
          <w:shd w:val="clear" w:color="auto" w:fill="FFFFFF"/>
        </w:rPr>
      </w:pPr>
      <w:r w:rsidRPr="0059692A">
        <w:rPr>
          <w:rFonts w:ascii="Book Antiqua" w:hAnsi="Book Antiqua" w:cs="Arial"/>
          <w:b/>
          <w:bCs/>
          <w:lang w:val="en-US"/>
        </w:rPr>
        <w:t>REVEUE MEMORANDUM CIRCULAR NO. 5</w:t>
      </w:r>
      <w:r w:rsidR="0027252E" w:rsidRPr="0059692A">
        <w:rPr>
          <w:rFonts w:ascii="Book Antiqua" w:hAnsi="Book Antiqua" w:cs="Arial"/>
          <w:b/>
          <w:bCs/>
          <w:lang w:val="en-US"/>
        </w:rPr>
        <w:t>8</w:t>
      </w:r>
      <w:r w:rsidRPr="0059692A">
        <w:rPr>
          <w:rFonts w:ascii="Book Antiqua" w:hAnsi="Book Antiqua" w:cs="Arial"/>
          <w:b/>
          <w:bCs/>
          <w:lang w:val="en-US"/>
        </w:rPr>
        <w:t>-2021 –</w:t>
      </w:r>
      <w:r w:rsidR="0027252E" w:rsidRPr="0059692A">
        <w:rPr>
          <w:rFonts w:ascii="Book Antiqua" w:hAnsi="Book Antiqua" w:cs="Arial"/>
          <w:b/>
          <w:bCs/>
          <w:color w:val="222222"/>
          <w:shd w:val="clear" w:color="auto" w:fill="FFFFFF"/>
        </w:rPr>
        <w:t xml:space="preserve"> </w:t>
      </w:r>
      <w:r w:rsidR="0027252E" w:rsidRPr="0059692A">
        <w:rPr>
          <w:rFonts w:ascii="Book Antiqua" w:hAnsi="Book Antiqua" w:cs="Arial"/>
          <w:b/>
          <w:bCs/>
          <w:lang w:val="en-US"/>
        </w:rPr>
        <w:t xml:space="preserve">CIRCULARIZING </w:t>
      </w:r>
      <w:r w:rsidR="0027252E" w:rsidRPr="0059692A">
        <w:rPr>
          <w:rFonts w:ascii="Book Antiqua" w:hAnsi="Book Antiqua" w:cs="Arial"/>
          <w:b/>
          <w:bCs/>
          <w:caps/>
          <w:color w:val="222222"/>
          <w:shd w:val="clear" w:color="auto" w:fill="FFFFFF"/>
        </w:rPr>
        <w:t xml:space="preserve">Republic Act No. 11521 (An Act Further Strengthening the Anti-Money Laundering Law, Amending for the Purpose Republic Act No. 9160, Otherwise Known as the ‘Anti-Money Laundering Act of 2001’, as Amended). </w:t>
      </w:r>
      <w:r w:rsidR="0027252E" w:rsidRPr="0059692A">
        <w:rPr>
          <w:rFonts w:ascii="Book Antiqua" w:hAnsi="Book Antiqua" w:cs="Arial"/>
          <w:b/>
          <w:bCs/>
          <w:color w:val="222222"/>
          <w:shd w:val="clear" w:color="auto" w:fill="FFFFFF"/>
        </w:rPr>
        <w:t xml:space="preserve">May 3, 2021. </w:t>
      </w:r>
    </w:p>
    <w:p w14:paraId="197684C5" w14:textId="123DE168" w:rsidR="00B84EAB" w:rsidRPr="0059692A" w:rsidRDefault="00B84EAB" w:rsidP="00B84EAB">
      <w:pPr>
        <w:jc w:val="both"/>
        <w:rPr>
          <w:rFonts w:ascii="Book Antiqua" w:hAnsi="Book Antiqua" w:cs="Arial"/>
        </w:rPr>
      </w:pPr>
    </w:p>
    <w:p w14:paraId="06ACAC9B" w14:textId="2EE2FF38" w:rsidR="00E21033" w:rsidRPr="00E21033" w:rsidRDefault="00E21033" w:rsidP="00E21033">
      <w:pPr>
        <w:jc w:val="both"/>
        <w:rPr>
          <w:rFonts w:ascii="Book Antiqua" w:hAnsi="Book Antiqua" w:cs="Arial"/>
        </w:rPr>
      </w:pPr>
      <w:r w:rsidRPr="0059692A">
        <w:rPr>
          <w:rFonts w:ascii="Book Antiqua" w:hAnsi="Book Antiqua" w:cs="Arial"/>
        </w:rPr>
        <w:t>This c</w:t>
      </w:r>
      <w:r w:rsidRPr="00E21033">
        <w:rPr>
          <w:rFonts w:ascii="Book Antiqua" w:hAnsi="Book Antiqua" w:cs="Arial"/>
        </w:rPr>
        <w:t>ircularize</w:t>
      </w:r>
      <w:r w:rsidRPr="0059692A">
        <w:rPr>
          <w:rFonts w:ascii="Book Antiqua" w:hAnsi="Book Antiqua" w:cs="Arial"/>
        </w:rPr>
        <w:t xml:space="preserve">d </w:t>
      </w:r>
      <w:r w:rsidRPr="00E21033">
        <w:rPr>
          <w:rFonts w:ascii="Book Antiqua" w:hAnsi="Book Antiqua" w:cs="Arial"/>
        </w:rPr>
        <w:t>Republic Act No. 11521</w:t>
      </w:r>
      <w:r w:rsidRPr="0059692A">
        <w:rPr>
          <w:rFonts w:ascii="Book Antiqua" w:hAnsi="Book Antiqua" w:cs="Arial"/>
        </w:rPr>
        <w:t xml:space="preserve">, </w:t>
      </w:r>
      <w:r w:rsidRPr="00E21033">
        <w:rPr>
          <w:rFonts w:ascii="Book Antiqua" w:hAnsi="Book Antiqua" w:cs="Arial"/>
        </w:rPr>
        <w:t xml:space="preserve">An Act Further Strengthening the Anti-Money Laundering Law, </w:t>
      </w:r>
      <w:proofErr w:type="gramStart"/>
      <w:r w:rsidRPr="00E21033">
        <w:rPr>
          <w:rFonts w:ascii="Book Antiqua" w:hAnsi="Book Antiqua" w:cs="Arial"/>
        </w:rPr>
        <w:t>Amending</w:t>
      </w:r>
      <w:proofErr w:type="gramEnd"/>
      <w:r w:rsidRPr="00E21033">
        <w:rPr>
          <w:rFonts w:ascii="Book Antiqua" w:hAnsi="Book Antiqua" w:cs="Arial"/>
        </w:rPr>
        <w:t xml:space="preserve"> for the Purpose Republic Act No. 9160, Otherwise Known as the ‘Anti-Money Laundering Act of 200</w:t>
      </w:r>
      <w:r w:rsidRPr="0059692A">
        <w:rPr>
          <w:rFonts w:ascii="Book Antiqua" w:hAnsi="Book Antiqua" w:cs="Arial"/>
        </w:rPr>
        <w:t>1’</w:t>
      </w:r>
      <w:r w:rsidRPr="00E21033">
        <w:rPr>
          <w:rFonts w:ascii="Book Antiqua" w:hAnsi="Book Antiqua" w:cs="Arial"/>
        </w:rPr>
        <w:t>, as Amende</w:t>
      </w:r>
      <w:r w:rsidRPr="0059692A">
        <w:rPr>
          <w:rFonts w:ascii="Book Antiqua" w:hAnsi="Book Antiqua" w:cs="Arial"/>
        </w:rPr>
        <w:t xml:space="preserve">d. </w:t>
      </w:r>
    </w:p>
    <w:p w14:paraId="6AFD1684" w14:textId="77777777" w:rsidR="00E21033" w:rsidRPr="0059692A" w:rsidRDefault="00E21033" w:rsidP="00B84EAB">
      <w:pPr>
        <w:jc w:val="both"/>
        <w:rPr>
          <w:rFonts w:ascii="Book Antiqua" w:hAnsi="Book Antiqua" w:cs="Arial"/>
        </w:rPr>
      </w:pPr>
    </w:p>
    <w:p w14:paraId="026C5D24" w14:textId="77777777" w:rsidR="00E21033" w:rsidRPr="0059692A" w:rsidRDefault="00E21033" w:rsidP="00B84EAB">
      <w:pPr>
        <w:jc w:val="both"/>
        <w:rPr>
          <w:rFonts w:ascii="Book Antiqua" w:hAnsi="Book Antiqua" w:cs="Arial"/>
          <w:b/>
          <w:bCs/>
          <w:lang w:val="en-US"/>
        </w:rPr>
      </w:pPr>
    </w:p>
    <w:p w14:paraId="063B5A3D" w14:textId="5425475E" w:rsidR="00B84EAB" w:rsidRPr="0059692A" w:rsidRDefault="00B84EAB" w:rsidP="00B84EAB">
      <w:pPr>
        <w:jc w:val="both"/>
        <w:rPr>
          <w:rFonts w:ascii="Book Antiqua" w:hAnsi="Book Antiqua" w:cs="Arial"/>
          <w:b/>
          <w:bCs/>
        </w:rPr>
      </w:pPr>
      <w:r w:rsidRPr="0059692A">
        <w:rPr>
          <w:rFonts w:ascii="Book Antiqua" w:hAnsi="Book Antiqua" w:cs="Arial"/>
          <w:b/>
          <w:bCs/>
          <w:lang w:val="en-US"/>
        </w:rPr>
        <w:lastRenderedPageBreak/>
        <w:t>REVEUE MEMORANDUM CIRCULAR NO. 5</w:t>
      </w:r>
      <w:r w:rsidR="0027252E" w:rsidRPr="0059692A">
        <w:rPr>
          <w:rFonts w:ascii="Book Antiqua" w:hAnsi="Book Antiqua" w:cs="Arial"/>
          <w:b/>
          <w:bCs/>
          <w:lang w:val="en-US"/>
        </w:rPr>
        <w:t>9</w:t>
      </w:r>
      <w:r w:rsidRPr="0059692A">
        <w:rPr>
          <w:rFonts w:ascii="Book Antiqua" w:hAnsi="Book Antiqua" w:cs="Arial"/>
          <w:b/>
          <w:bCs/>
          <w:lang w:val="en-US"/>
        </w:rPr>
        <w:t>-2021 –</w:t>
      </w:r>
      <w:r w:rsidR="009308C0" w:rsidRPr="0059692A">
        <w:rPr>
          <w:rFonts w:ascii="Book Antiqua" w:hAnsi="Book Antiqua" w:cs="Arial"/>
          <w:b/>
          <w:bCs/>
        </w:rPr>
        <w:t xml:space="preserve"> </w:t>
      </w:r>
      <w:r w:rsidR="009308C0" w:rsidRPr="0059692A">
        <w:rPr>
          <w:rFonts w:ascii="Book Antiqua" w:hAnsi="Book Antiqua" w:cs="Arial"/>
          <w:b/>
          <w:bCs/>
          <w:caps/>
        </w:rPr>
        <w:t>Consolidated Price of sugar at Millsite fbo the Month of March 2021</w:t>
      </w:r>
      <w:r w:rsidRPr="0059692A">
        <w:rPr>
          <w:rFonts w:ascii="Book Antiqua" w:hAnsi="Book Antiqua" w:cs="Arial"/>
          <w:b/>
          <w:bCs/>
          <w:lang w:val="en-US"/>
        </w:rPr>
        <w:t xml:space="preserve">. </w:t>
      </w:r>
      <w:r w:rsidR="004A1931" w:rsidRPr="0059692A">
        <w:rPr>
          <w:rFonts w:ascii="Book Antiqua" w:hAnsi="Book Antiqua" w:cs="Arial"/>
          <w:b/>
          <w:bCs/>
          <w:lang w:val="en-US"/>
        </w:rPr>
        <w:t xml:space="preserve">May 14, 2021. </w:t>
      </w:r>
      <w:r w:rsidR="0027252E" w:rsidRPr="0059692A">
        <w:rPr>
          <w:rFonts w:ascii="Book Antiqua" w:hAnsi="Book Antiqua" w:cs="Arial"/>
          <w:b/>
          <w:bCs/>
          <w:lang w:val="en-US"/>
        </w:rPr>
        <w:t xml:space="preserve"> </w:t>
      </w:r>
    </w:p>
    <w:p w14:paraId="53271873" w14:textId="369E6B3E" w:rsidR="00AE419C" w:rsidRPr="0059692A" w:rsidRDefault="00AE419C" w:rsidP="00AE419C">
      <w:pPr>
        <w:rPr>
          <w:rFonts w:ascii="Book Antiqua" w:hAnsi="Book Antiqua" w:cs="Arial"/>
          <w:b/>
          <w:bCs/>
          <w:u w:val="single"/>
          <w:lang w:val="en-US"/>
        </w:rPr>
      </w:pPr>
    </w:p>
    <w:p w14:paraId="09FA5445" w14:textId="3A1F4571" w:rsidR="00EA2920" w:rsidRPr="00EA2920" w:rsidRDefault="00EA2920" w:rsidP="00AA7CB8">
      <w:pPr>
        <w:jc w:val="both"/>
        <w:rPr>
          <w:rFonts w:ascii="Book Antiqua" w:hAnsi="Book Antiqua" w:cs="Arial"/>
        </w:rPr>
      </w:pPr>
      <w:r w:rsidRPr="0059692A">
        <w:rPr>
          <w:rFonts w:ascii="Book Antiqua" w:hAnsi="Book Antiqua" w:cs="Arial"/>
        </w:rPr>
        <w:t>This c</w:t>
      </w:r>
      <w:r w:rsidRPr="00EA2920">
        <w:rPr>
          <w:rFonts w:ascii="Book Antiqua" w:hAnsi="Book Antiqua" w:cs="Arial"/>
        </w:rPr>
        <w:t>ircularize</w:t>
      </w:r>
      <w:r w:rsidRPr="0059692A">
        <w:rPr>
          <w:rFonts w:ascii="Book Antiqua" w:hAnsi="Book Antiqua" w:cs="Arial"/>
        </w:rPr>
        <w:t xml:space="preserve">d </w:t>
      </w:r>
      <w:r w:rsidRPr="00EA2920">
        <w:rPr>
          <w:rFonts w:ascii="Book Antiqua" w:hAnsi="Book Antiqua" w:cs="Arial"/>
        </w:rPr>
        <w:t xml:space="preserve">the Consolidated Price of Sugar at </w:t>
      </w:r>
      <w:proofErr w:type="spellStart"/>
      <w:r w:rsidRPr="00EA2920">
        <w:rPr>
          <w:rFonts w:ascii="Book Antiqua" w:hAnsi="Book Antiqua" w:cs="Arial"/>
        </w:rPr>
        <w:t>Millsite</w:t>
      </w:r>
      <w:proofErr w:type="spellEnd"/>
      <w:r w:rsidRPr="00EA2920">
        <w:rPr>
          <w:rFonts w:ascii="Book Antiqua" w:hAnsi="Book Antiqua" w:cs="Arial"/>
        </w:rPr>
        <w:t xml:space="preserve"> for the month of March 2021</w:t>
      </w:r>
      <w:r w:rsidR="005D29BE" w:rsidRPr="0059692A">
        <w:rPr>
          <w:rFonts w:ascii="Book Antiqua" w:hAnsi="Book Antiqua" w:cs="Arial"/>
        </w:rPr>
        <w:t xml:space="preserve">. </w:t>
      </w:r>
    </w:p>
    <w:p w14:paraId="602C1207" w14:textId="77777777" w:rsidR="00355A26" w:rsidRPr="0059692A" w:rsidRDefault="00355A26" w:rsidP="00AE419C">
      <w:pPr>
        <w:rPr>
          <w:rFonts w:ascii="Book Antiqua" w:hAnsi="Book Antiqua" w:cs="Arial"/>
          <w:b/>
          <w:bCs/>
          <w:u w:val="single"/>
          <w:lang w:val="en-US"/>
        </w:rPr>
      </w:pPr>
    </w:p>
    <w:p w14:paraId="551B645D" w14:textId="72C19443" w:rsidR="006A6AA6" w:rsidRPr="0059692A" w:rsidRDefault="006A6AA6" w:rsidP="006A6AA6">
      <w:pPr>
        <w:jc w:val="center"/>
        <w:rPr>
          <w:rFonts w:ascii="Book Antiqua" w:hAnsi="Book Antiqua" w:cs="Arial"/>
          <w:b/>
          <w:bCs/>
          <w:u w:val="single"/>
          <w:lang w:val="en-US"/>
        </w:rPr>
      </w:pPr>
      <w:r w:rsidRPr="0059692A">
        <w:rPr>
          <w:rFonts w:ascii="Book Antiqua" w:hAnsi="Book Antiqua" w:cs="Arial"/>
          <w:b/>
          <w:bCs/>
          <w:u w:val="single"/>
          <w:lang w:val="en-US"/>
        </w:rPr>
        <w:t xml:space="preserve">Bureau of Internal Revenue – Revenue Memorandum Orders </w:t>
      </w:r>
    </w:p>
    <w:p w14:paraId="69342298" w14:textId="6775D64F" w:rsidR="006A6AA6" w:rsidRPr="0059692A" w:rsidRDefault="006A6AA6" w:rsidP="001F4CA5">
      <w:pPr>
        <w:rPr>
          <w:rFonts w:ascii="Book Antiqua" w:hAnsi="Book Antiqua" w:cs="Arial"/>
          <w:b/>
          <w:bCs/>
          <w:u w:val="single"/>
          <w:lang w:val="en-US"/>
        </w:rPr>
      </w:pPr>
    </w:p>
    <w:p w14:paraId="2EAB72BC" w14:textId="7A51BFA6" w:rsidR="001F4CA5" w:rsidRPr="0059692A" w:rsidRDefault="001F4CA5" w:rsidP="001F4CA5">
      <w:pPr>
        <w:rPr>
          <w:rFonts w:ascii="Book Antiqua" w:hAnsi="Book Antiqua" w:cs="Arial"/>
          <w:b/>
          <w:bCs/>
          <w:u w:val="single"/>
          <w:lang w:val="en-US"/>
        </w:rPr>
      </w:pPr>
    </w:p>
    <w:p w14:paraId="2D324708" w14:textId="31076459" w:rsidR="001F4CA5" w:rsidRPr="0059692A" w:rsidRDefault="00CC7953" w:rsidP="00B4155D">
      <w:pPr>
        <w:jc w:val="both"/>
        <w:rPr>
          <w:rFonts w:ascii="Book Antiqua" w:hAnsi="Book Antiqua" w:cs="Arial"/>
          <w:lang w:val="en-US"/>
        </w:rPr>
      </w:pPr>
      <w:r w:rsidRPr="0059692A">
        <w:rPr>
          <w:rFonts w:ascii="Book Antiqua" w:hAnsi="Book Antiqua" w:cs="Arial"/>
          <w:b/>
          <w:bCs/>
          <w:lang w:val="en-US"/>
        </w:rPr>
        <w:t xml:space="preserve">REVENUE MEMORANDUM ORDER NO. 15-2021 – ALL REVENUE OFFICIALS AND EMPLOYEES CONCERNED </w:t>
      </w:r>
      <w:r w:rsidR="00B4155D" w:rsidRPr="0059692A">
        <w:rPr>
          <w:rFonts w:ascii="Book Antiqua" w:hAnsi="Book Antiqua" w:cs="Arial"/>
          <w:b/>
          <w:bCs/>
          <w:lang w:val="en-US"/>
        </w:rPr>
        <w:t xml:space="preserve">REGARDING BIR’S MENTAL HEALTH PROGRAM. </w:t>
      </w:r>
      <w:r w:rsidR="00B4155D" w:rsidRPr="0059692A">
        <w:rPr>
          <w:rFonts w:ascii="Book Antiqua" w:hAnsi="Book Antiqua" w:cs="Arial"/>
          <w:lang w:val="en-US"/>
        </w:rPr>
        <w:t xml:space="preserve">March 25, 2021. </w:t>
      </w:r>
    </w:p>
    <w:p w14:paraId="03A174F7" w14:textId="6410D7E8" w:rsidR="004A4B33" w:rsidRPr="0059692A" w:rsidRDefault="004A4B33" w:rsidP="00B4155D">
      <w:pPr>
        <w:jc w:val="both"/>
        <w:rPr>
          <w:rFonts w:ascii="Book Antiqua" w:hAnsi="Book Antiqua" w:cs="Arial"/>
          <w:lang w:val="en-US"/>
        </w:rPr>
      </w:pPr>
    </w:p>
    <w:p w14:paraId="7537D79D" w14:textId="48B763BD" w:rsidR="004A4B33" w:rsidRPr="0059692A" w:rsidRDefault="004A4B33" w:rsidP="00B4155D">
      <w:pPr>
        <w:jc w:val="both"/>
        <w:rPr>
          <w:rFonts w:ascii="Book Antiqua" w:hAnsi="Book Antiqua" w:cs="Arial"/>
          <w:lang w:val="en-US"/>
        </w:rPr>
      </w:pPr>
      <w:r w:rsidRPr="0059692A">
        <w:rPr>
          <w:rFonts w:ascii="Book Antiqua" w:hAnsi="Book Antiqua" w:cs="Arial"/>
          <w:lang w:val="en-US"/>
        </w:rPr>
        <w:t xml:space="preserve">This </w:t>
      </w:r>
      <w:r w:rsidR="00925844" w:rsidRPr="0059692A">
        <w:rPr>
          <w:rFonts w:ascii="Book Antiqua" w:hAnsi="Book Antiqua" w:cs="Arial"/>
          <w:lang w:val="en-US"/>
        </w:rPr>
        <w:t xml:space="preserve">was promulgated pursuant to Republic Act No. 11036, otherwise known as the “Mental Health Act of 2018” and its </w:t>
      </w:r>
      <w:r w:rsidR="000236AF" w:rsidRPr="0059692A">
        <w:rPr>
          <w:rFonts w:ascii="Book Antiqua" w:hAnsi="Book Antiqua" w:cs="Arial"/>
          <w:lang w:val="en-US"/>
        </w:rPr>
        <w:t>Implementing</w:t>
      </w:r>
      <w:r w:rsidR="00925844" w:rsidRPr="0059692A">
        <w:rPr>
          <w:rFonts w:ascii="Book Antiqua" w:hAnsi="Book Antiqua" w:cs="Arial"/>
          <w:lang w:val="en-US"/>
        </w:rPr>
        <w:t xml:space="preserve"> Rules and Regulations. </w:t>
      </w:r>
    </w:p>
    <w:p w14:paraId="5567631A" w14:textId="53570E67" w:rsidR="001F4CA5" w:rsidRPr="0059692A" w:rsidRDefault="001F4CA5" w:rsidP="001F4CA5">
      <w:pPr>
        <w:rPr>
          <w:rFonts w:ascii="Book Antiqua" w:hAnsi="Book Antiqua" w:cs="Arial"/>
          <w:b/>
          <w:bCs/>
          <w:u w:val="single"/>
          <w:lang w:val="en-US"/>
        </w:rPr>
      </w:pPr>
    </w:p>
    <w:p w14:paraId="4DD077AF" w14:textId="77777777" w:rsidR="00DA1138" w:rsidRPr="0059692A" w:rsidRDefault="00DA1138" w:rsidP="001F4CA5">
      <w:pPr>
        <w:rPr>
          <w:rFonts w:ascii="Book Antiqua" w:hAnsi="Book Antiqua" w:cs="Arial"/>
          <w:b/>
          <w:bCs/>
          <w:u w:val="single"/>
          <w:lang w:val="en-US"/>
        </w:rPr>
      </w:pPr>
    </w:p>
    <w:p w14:paraId="3A8F8AD7" w14:textId="4DB7D58B" w:rsidR="006A6AA6" w:rsidRPr="0059692A" w:rsidRDefault="006A6AA6" w:rsidP="006A6AA6">
      <w:pPr>
        <w:jc w:val="center"/>
        <w:rPr>
          <w:rFonts w:ascii="Book Antiqua" w:hAnsi="Book Antiqua" w:cs="Arial"/>
          <w:b/>
          <w:bCs/>
          <w:u w:val="single"/>
          <w:lang w:val="en-US"/>
        </w:rPr>
      </w:pPr>
      <w:bookmarkStart w:id="0" w:name="_Hlk73294216"/>
      <w:r w:rsidRPr="0059692A">
        <w:rPr>
          <w:rFonts w:ascii="Book Antiqua" w:hAnsi="Book Antiqua" w:cs="Arial"/>
          <w:b/>
          <w:bCs/>
          <w:u w:val="single"/>
          <w:lang w:val="en-US"/>
        </w:rPr>
        <w:t xml:space="preserve">Bureau of Internal Revenue – Rulings </w:t>
      </w:r>
    </w:p>
    <w:bookmarkEnd w:id="0"/>
    <w:p w14:paraId="13388A16" w14:textId="77777777" w:rsidR="00A14C8C" w:rsidRPr="0059692A" w:rsidRDefault="00A14C8C" w:rsidP="00B60F32">
      <w:pPr>
        <w:rPr>
          <w:rFonts w:ascii="Book Antiqua" w:hAnsi="Book Antiqua" w:cs="Arial"/>
          <w:u w:val="single"/>
          <w:lang w:val="en-US"/>
        </w:rPr>
      </w:pPr>
    </w:p>
    <w:p w14:paraId="718C8E6D" w14:textId="6F0B7049" w:rsidR="00B60F32" w:rsidRPr="0059692A" w:rsidRDefault="00B60F32" w:rsidP="00B60F32">
      <w:pPr>
        <w:jc w:val="both"/>
        <w:rPr>
          <w:rFonts w:ascii="Book Antiqua" w:hAnsi="Book Antiqua" w:cs="Arial"/>
          <w:u w:val="single"/>
          <w:lang w:val="en-US"/>
        </w:rPr>
      </w:pPr>
      <w:r w:rsidRPr="0059692A">
        <w:rPr>
          <w:rFonts w:ascii="Book Antiqua" w:hAnsi="Book Antiqua" w:cs="Arial"/>
          <w:b/>
          <w:bCs/>
          <w:lang w:val="en-US"/>
        </w:rPr>
        <w:t xml:space="preserve">BIR RULING NO. VAT-041-21, February 26, 2021. </w:t>
      </w:r>
      <w:r w:rsidRPr="0059692A">
        <w:rPr>
          <w:rFonts w:ascii="Book Antiqua" w:hAnsi="Book Antiqua" w:cs="Arial"/>
          <w:lang w:val="en-US"/>
        </w:rPr>
        <w:t xml:space="preserve">This is a request for ruling on whether </w:t>
      </w:r>
      <w:r w:rsidR="006F59AC" w:rsidRPr="0059692A">
        <w:rPr>
          <w:rFonts w:ascii="Book Antiqua" w:hAnsi="Book Antiqua" w:cs="Arial"/>
          <w:lang w:val="en-US"/>
        </w:rPr>
        <w:t>2GO Group, Inc.’s (“2GO”) importation of a cargo vessel</w:t>
      </w:r>
      <w:r w:rsidR="001714B2" w:rsidRPr="0059692A">
        <w:rPr>
          <w:rFonts w:ascii="Book Antiqua" w:hAnsi="Book Antiqua" w:cs="Arial"/>
          <w:lang w:val="en-US"/>
        </w:rPr>
        <w:t xml:space="preserve"> named “Stena Nova”</w:t>
      </w:r>
      <w:r w:rsidR="006F59AC" w:rsidRPr="0059692A">
        <w:rPr>
          <w:rFonts w:ascii="Book Antiqua" w:hAnsi="Book Antiqua" w:cs="Arial"/>
          <w:lang w:val="en-US"/>
        </w:rPr>
        <w:t xml:space="preserve"> is exempt form value-added tax (“VAT”) pursuant to Section 109(1)(T) of the NIRC. </w:t>
      </w:r>
      <w:r w:rsidR="00C37DDB" w:rsidRPr="0059692A">
        <w:rPr>
          <w:rFonts w:ascii="Book Antiqua" w:hAnsi="Book Antiqua" w:cs="Arial"/>
          <w:lang w:val="en-US"/>
        </w:rPr>
        <w:t xml:space="preserve">2GO is a domestic corporation </w:t>
      </w:r>
      <w:r w:rsidR="00B94832" w:rsidRPr="0059692A">
        <w:rPr>
          <w:rFonts w:ascii="Book Antiqua" w:hAnsi="Book Antiqua" w:cs="Arial"/>
          <w:lang w:val="en-US"/>
        </w:rPr>
        <w:t>which is</w:t>
      </w:r>
      <w:r w:rsidR="00C37DDB" w:rsidRPr="0059692A">
        <w:rPr>
          <w:rFonts w:ascii="Book Antiqua" w:hAnsi="Book Antiqua" w:cs="Arial"/>
          <w:lang w:val="en-US"/>
        </w:rPr>
        <w:t xml:space="preserve"> </w:t>
      </w:r>
      <w:r w:rsidR="00713A05" w:rsidRPr="0059692A">
        <w:rPr>
          <w:rFonts w:ascii="Book Antiqua" w:hAnsi="Book Antiqua" w:cs="Arial"/>
          <w:lang w:val="en-US"/>
        </w:rPr>
        <w:t xml:space="preserve">duly accredited by the Maritime Industry Authority (“MARINA”) to engage in domestic shipping business. The BIR ruled that pursuant to Section 109(1)(T) of the NIRC and Section 4.109-1 (B)(1)(t) of </w:t>
      </w:r>
      <w:r w:rsidR="00B94832" w:rsidRPr="0059692A">
        <w:rPr>
          <w:rFonts w:ascii="Book Antiqua" w:hAnsi="Book Antiqua" w:cs="Arial"/>
          <w:lang w:val="en-US"/>
        </w:rPr>
        <w:t>RR</w:t>
      </w:r>
      <w:r w:rsidR="00713A05" w:rsidRPr="0059692A">
        <w:rPr>
          <w:rFonts w:ascii="Book Antiqua" w:hAnsi="Book Antiqua" w:cs="Arial"/>
          <w:lang w:val="en-US"/>
        </w:rPr>
        <w:t xml:space="preserve"> No. 16-2005, importation of cargo vessels destined for domestic transport operations shall be exempt </w:t>
      </w:r>
      <w:r w:rsidR="00B94832" w:rsidRPr="0059692A">
        <w:rPr>
          <w:rFonts w:ascii="Book Antiqua" w:hAnsi="Book Antiqua" w:cs="Arial"/>
          <w:lang w:val="en-US"/>
        </w:rPr>
        <w:t>from</w:t>
      </w:r>
      <w:r w:rsidR="00713A05" w:rsidRPr="0059692A">
        <w:rPr>
          <w:rFonts w:ascii="Book Antiqua" w:hAnsi="Book Antiqua" w:cs="Arial"/>
          <w:lang w:val="en-US"/>
        </w:rPr>
        <w:t xml:space="preserve"> VAT. Hence, the importation of 2GO </w:t>
      </w:r>
      <w:r w:rsidR="001714B2" w:rsidRPr="0059692A">
        <w:rPr>
          <w:rFonts w:ascii="Book Antiqua" w:hAnsi="Book Antiqua" w:cs="Arial"/>
          <w:lang w:val="en-US"/>
        </w:rPr>
        <w:t xml:space="preserve">of Stena Nova shall be exempt </w:t>
      </w:r>
      <w:r w:rsidR="00B94832" w:rsidRPr="0059692A">
        <w:rPr>
          <w:rFonts w:ascii="Book Antiqua" w:hAnsi="Book Antiqua" w:cs="Arial"/>
          <w:lang w:val="en-US"/>
        </w:rPr>
        <w:t>from</w:t>
      </w:r>
      <w:r w:rsidR="001714B2" w:rsidRPr="0059692A">
        <w:rPr>
          <w:rFonts w:ascii="Book Antiqua" w:hAnsi="Book Antiqua" w:cs="Arial"/>
          <w:lang w:val="en-US"/>
        </w:rPr>
        <w:t xml:space="preserve"> VAT. However, the VAT exemption shall be subject to the requirements on restrictions on vessel importation and mandatory vessel retirement program of MARINA. </w:t>
      </w:r>
    </w:p>
    <w:p w14:paraId="53C4C330" w14:textId="77777777" w:rsidR="00B60F32" w:rsidRPr="0059692A" w:rsidRDefault="00B60F32" w:rsidP="009B3909">
      <w:pPr>
        <w:jc w:val="both"/>
        <w:rPr>
          <w:rFonts w:ascii="Book Antiqua" w:hAnsi="Book Antiqua" w:cs="Arial"/>
          <w:b/>
          <w:bCs/>
          <w:lang w:val="en-US"/>
        </w:rPr>
      </w:pPr>
    </w:p>
    <w:p w14:paraId="21E6D172" w14:textId="6A6FB52B" w:rsidR="00B706E9" w:rsidRPr="0059692A" w:rsidRDefault="00B706E9" w:rsidP="009B3909">
      <w:pPr>
        <w:jc w:val="both"/>
        <w:rPr>
          <w:rFonts w:ascii="Book Antiqua" w:hAnsi="Book Antiqua" w:cs="Arial"/>
          <w:u w:val="single"/>
          <w:lang w:val="en-US"/>
        </w:rPr>
      </w:pPr>
      <w:r w:rsidRPr="0059692A">
        <w:rPr>
          <w:rFonts w:ascii="Book Antiqua" w:hAnsi="Book Antiqua" w:cs="Arial"/>
          <w:b/>
          <w:bCs/>
          <w:lang w:val="en-US"/>
        </w:rPr>
        <w:t xml:space="preserve">BIR RULING NO. VAT-063-21, March 3, 2021. </w:t>
      </w:r>
      <w:r w:rsidR="00767A19" w:rsidRPr="0059692A">
        <w:rPr>
          <w:rFonts w:ascii="Book Antiqua" w:hAnsi="Book Antiqua" w:cs="Arial"/>
          <w:lang w:val="en-US"/>
        </w:rPr>
        <w:t xml:space="preserve">This is a request for ruling on whether the services of </w:t>
      </w:r>
      <w:proofErr w:type="spellStart"/>
      <w:r w:rsidR="00767A19" w:rsidRPr="0059692A">
        <w:rPr>
          <w:rFonts w:ascii="Book Antiqua" w:hAnsi="Book Antiqua" w:cs="Arial"/>
          <w:lang w:val="en-US"/>
        </w:rPr>
        <w:t>Viero</w:t>
      </w:r>
      <w:proofErr w:type="spellEnd"/>
      <w:r w:rsidR="00767A19" w:rsidRPr="0059692A">
        <w:rPr>
          <w:rFonts w:ascii="Book Antiqua" w:hAnsi="Book Antiqua" w:cs="Arial"/>
          <w:lang w:val="en-US"/>
        </w:rPr>
        <w:t xml:space="preserve"> </w:t>
      </w:r>
      <w:proofErr w:type="spellStart"/>
      <w:r w:rsidR="00767A19" w:rsidRPr="0059692A">
        <w:rPr>
          <w:rFonts w:ascii="Book Antiqua" w:hAnsi="Book Antiqua" w:cs="Arial"/>
          <w:lang w:val="en-US"/>
        </w:rPr>
        <w:t>Loadworks</w:t>
      </w:r>
      <w:proofErr w:type="spellEnd"/>
      <w:r w:rsidR="00767A19" w:rsidRPr="0059692A">
        <w:rPr>
          <w:rFonts w:ascii="Book Antiqua" w:hAnsi="Book Antiqua" w:cs="Arial"/>
          <w:lang w:val="en-US"/>
        </w:rPr>
        <w:t>, Inc.</w:t>
      </w:r>
      <w:r w:rsidR="009B3909" w:rsidRPr="0059692A">
        <w:rPr>
          <w:rFonts w:ascii="Book Antiqua" w:hAnsi="Book Antiqua" w:cs="Arial"/>
          <w:lang w:val="en-US"/>
        </w:rPr>
        <w:t xml:space="preserve"> (“</w:t>
      </w:r>
      <w:proofErr w:type="spellStart"/>
      <w:r w:rsidR="009B3909" w:rsidRPr="0059692A">
        <w:rPr>
          <w:rFonts w:ascii="Book Antiqua" w:hAnsi="Book Antiqua" w:cs="Arial"/>
          <w:lang w:val="en-US"/>
        </w:rPr>
        <w:t>Vi</w:t>
      </w:r>
      <w:r w:rsidR="001A4A0F">
        <w:rPr>
          <w:rFonts w:ascii="Book Antiqua" w:hAnsi="Book Antiqua" w:cs="Arial"/>
          <w:lang w:val="en-US"/>
        </w:rPr>
        <w:t>er</w:t>
      </w:r>
      <w:r w:rsidR="009B3909" w:rsidRPr="0059692A">
        <w:rPr>
          <w:rFonts w:ascii="Book Antiqua" w:hAnsi="Book Antiqua" w:cs="Arial"/>
          <w:lang w:val="en-US"/>
        </w:rPr>
        <w:t>o</w:t>
      </w:r>
      <w:proofErr w:type="spellEnd"/>
      <w:r w:rsidR="009B3909" w:rsidRPr="0059692A">
        <w:rPr>
          <w:rFonts w:ascii="Book Antiqua" w:hAnsi="Book Antiqua" w:cs="Arial"/>
          <w:lang w:val="en-US"/>
        </w:rPr>
        <w:t>”)</w:t>
      </w:r>
      <w:r w:rsidR="00767A19" w:rsidRPr="0059692A">
        <w:rPr>
          <w:rFonts w:ascii="Book Antiqua" w:hAnsi="Book Antiqua" w:cs="Arial"/>
          <w:lang w:val="en-US"/>
        </w:rPr>
        <w:t xml:space="preserve"> </w:t>
      </w:r>
      <w:r w:rsidR="00155411" w:rsidRPr="0059692A">
        <w:rPr>
          <w:rFonts w:ascii="Book Antiqua" w:hAnsi="Book Antiqua" w:cs="Arial"/>
          <w:lang w:val="en-US"/>
        </w:rPr>
        <w:t>to</w:t>
      </w:r>
      <w:r w:rsidR="00767A19" w:rsidRPr="0059692A">
        <w:rPr>
          <w:rFonts w:ascii="Book Antiqua" w:hAnsi="Book Antiqua" w:cs="Arial"/>
          <w:lang w:val="en-US"/>
        </w:rPr>
        <w:t xml:space="preserve"> the Quezon City Government</w:t>
      </w:r>
      <w:r w:rsidR="008541AD" w:rsidRPr="0059692A">
        <w:rPr>
          <w:rFonts w:ascii="Book Antiqua" w:hAnsi="Book Antiqua" w:cs="Arial"/>
          <w:lang w:val="en-US"/>
        </w:rPr>
        <w:t xml:space="preserve"> may be exempt from value-added tax</w:t>
      </w:r>
      <w:r w:rsidR="009B3909" w:rsidRPr="0059692A">
        <w:rPr>
          <w:rFonts w:ascii="Book Antiqua" w:hAnsi="Book Antiqua" w:cs="Arial"/>
          <w:lang w:val="en-US"/>
        </w:rPr>
        <w:t xml:space="preserve"> (“VAT”)</w:t>
      </w:r>
      <w:r w:rsidR="008541AD" w:rsidRPr="0059692A">
        <w:rPr>
          <w:rFonts w:ascii="Book Antiqua" w:hAnsi="Book Antiqua" w:cs="Arial"/>
          <w:lang w:val="en-US"/>
        </w:rPr>
        <w:t>.</w:t>
      </w:r>
      <w:r w:rsidR="009B3909" w:rsidRPr="0059692A">
        <w:rPr>
          <w:rFonts w:ascii="Book Antiqua" w:hAnsi="Book Antiqua" w:cs="Arial"/>
          <w:lang w:val="en-US"/>
        </w:rPr>
        <w:t xml:space="preserve"> </w:t>
      </w:r>
      <w:r w:rsidR="00B36F4C" w:rsidRPr="0059692A">
        <w:rPr>
          <w:rFonts w:ascii="Book Antiqua" w:hAnsi="Book Antiqua" w:cs="Arial"/>
          <w:lang w:val="en-US"/>
        </w:rPr>
        <w:t xml:space="preserve">Quezon City procured the </w:t>
      </w:r>
      <w:r w:rsidR="00155411" w:rsidRPr="0059692A">
        <w:rPr>
          <w:rFonts w:ascii="Book Antiqua" w:hAnsi="Book Antiqua" w:cs="Arial"/>
          <w:lang w:val="en-US"/>
        </w:rPr>
        <w:t>services of</w:t>
      </w:r>
      <w:r w:rsidR="00B36F4C" w:rsidRPr="0059692A">
        <w:rPr>
          <w:rFonts w:ascii="Book Antiqua" w:hAnsi="Book Antiqua" w:cs="Arial"/>
          <w:lang w:val="en-US"/>
        </w:rPr>
        <w:t xml:space="preserve"> Vireo relative to the utilization of the latter’s project named Innovative </w:t>
      </w:r>
      <w:r w:rsidR="00D2666E" w:rsidRPr="0059692A">
        <w:rPr>
          <w:rFonts w:ascii="Book Antiqua" w:hAnsi="Book Antiqua" w:cs="Arial"/>
          <w:lang w:val="en-US"/>
        </w:rPr>
        <w:t>Artificial Intelligence (“AI”) and Information and Communications Technology (“ICT”)</w:t>
      </w:r>
      <w:r w:rsidR="00F53B6B" w:rsidRPr="0059692A">
        <w:rPr>
          <w:rFonts w:ascii="Book Antiqua" w:hAnsi="Book Antiqua" w:cs="Arial"/>
          <w:lang w:val="en-US"/>
        </w:rPr>
        <w:t xml:space="preserve"> which provided a system that helped mitigate the spread of COVID-</w:t>
      </w:r>
      <w:r w:rsidR="00155411" w:rsidRPr="0059692A">
        <w:rPr>
          <w:rFonts w:ascii="Book Antiqua" w:hAnsi="Book Antiqua" w:cs="Arial"/>
          <w:lang w:val="en-US"/>
        </w:rPr>
        <w:t>19</w:t>
      </w:r>
      <w:r w:rsidR="00F53B6B" w:rsidRPr="0059692A">
        <w:rPr>
          <w:rFonts w:ascii="Book Antiqua" w:hAnsi="Book Antiqua" w:cs="Arial"/>
          <w:lang w:val="en-US"/>
        </w:rPr>
        <w:t>.</w:t>
      </w:r>
      <w:r w:rsidR="008541AD" w:rsidRPr="0059692A">
        <w:rPr>
          <w:rFonts w:ascii="Book Antiqua" w:hAnsi="Book Antiqua" w:cs="Arial"/>
          <w:lang w:val="en-US"/>
        </w:rPr>
        <w:t xml:space="preserve"> </w:t>
      </w:r>
      <w:r w:rsidR="00A518C5" w:rsidRPr="0059692A">
        <w:rPr>
          <w:rFonts w:ascii="Book Antiqua" w:hAnsi="Book Antiqua" w:cs="Arial"/>
          <w:lang w:val="en-US"/>
        </w:rPr>
        <w:t>The BIR ruled that there is nothing in R.A. No. 11439</w:t>
      </w:r>
      <w:r w:rsidR="00F56E9F" w:rsidRPr="0059692A">
        <w:rPr>
          <w:rFonts w:ascii="Book Antiqua" w:hAnsi="Book Antiqua" w:cs="Arial"/>
          <w:lang w:val="en-US"/>
        </w:rPr>
        <w:t xml:space="preserve"> or </w:t>
      </w:r>
      <w:r w:rsidR="00155411" w:rsidRPr="0059692A">
        <w:rPr>
          <w:rFonts w:ascii="Book Antiqua" w:hAnsi="Book Antiqua" w:cs="Arial"/>
          <w:lang w:val="en-US"/>
        </w:rPr>
        <w:t>NIRC</w:t>
      </w:r>
      <w:r w:rsidR="00F56E9F" w:rsidRPr="0059692A">
        <w:rPr>
          <w:rFonts w:ascii="Book Antiqua" w:hAnsi="Book Antiqua" w:cs="Arial"/>
          <w:lang w:val="en-US"/>
        </w:rPr>
        <w:t xml:space="preserve"> that exempts transactions involving ICT services from VAT during the pandemic. Thus, the payment of VAT is mandatory. </w:t>
      </w:r>
    </w:p>
    <w:p w14:paraId="391F5406" w14:textId="77777777" w:rsidR="00B706E9" w:rsidRPr="0059692A" w:rsidRDefault="00B706E9" w:rsidP="00B66FCC">
      <w:pPr>
        <w:rPr>
          <w:rFonts w:ascii="Book Antiqua" w:hAnsi="Book Antiqua" w:cs="Arial"/>
          <w:u w:val="single"/>
          <w:lang w:val="en-US"/>
        </w:rPr>
      </w:pPr>
    </w:p>
    <w:p w14:paraId="2B73C284" w14:textId="238831A0" w:rsidR="003651B1" w:rsidRDefault="00D23475" w:rsidP="00211A5B">
      <w:pPr>
        <w:jc w:val="both"/>
        <w:rPr>
          <w:rFonts w:ascii="Book Antiqua" w:hAnsi="Book Antiqua" w:cs="Arial"/>
          <w:lang w:val="en-US"/>
        </w:rPr>
      </w:pPr>
      <w:r w:rsidRPr="0059692A">
        <w:rPr>
          <w:rFonts w:ascii="Book Antiqua" w:hAnsi="Book Antiqua" w:cs="Arial"/>
          <w:b/>
          <w:bCs/>
          <w:lang w:val="en-US"/>
        </w:rPr>
        <w:t>BIR RULING NO. JV-056-21</w:t>
      </w:r>
      <w:r w:rsidR="00B706E9" w:rsidRPr="0059692A">
        <w:rPr>
          <w:rFonts w:ascii="Book Antiqua" w:hAnsi="Book Antiqua" w:cs="Arial"/>
          <w:b/>
          <w:bCs/>
          <w:lang w:val="en-US"/>
        </w:rPr>
        <w:t>, March 22, 2021</w:t>
      </w:r>
      <w:r w:rsidRPr="0059692A">
        <w:rPr>
          <w:rFonts w:ascii="Book Antiqua" w:hAnsi="Book Antiqua" w:cs="Arial"/>
          <w:b/>
          <w:bCs/>
          <w:lang w:val="en-US"/>
        </w:rPr>
        <w:t xml:space="preserve">. </w:t>
      </w:r>
      <w:r w:rsidR="00DF3A51" w:rsidRPr="0059692A">
        <w:rPr>
          <w:rFonts w:ascii="Book Antiqua" w:hAnsi="Book Antiqua" w:cs="Arial"/>
          <w:lang w:val="en-US"/>
        </w:rPr>
        <w:t>T</w:t>
      </w:r>
      <w:r w:rsidR="00562946" w:rsidRPr="0059692A">
        <w:rPr>
          <w:rFonts w:ascii="Book Antiqua" w:hAnsi="Book Antiqua" w:cs="Arial"/>
          <w:lang w:val="en-US"/>
        </w:rPr>
        <w:t xml:space="preserve">his is a request for ruling on whether the </w:t>
      </w:r>
      <w:r w:rsidR="00F740FA" w:rsidRPr="0059692A">
        <w:rPr>
          <w:rFonts w:ascii="Book Antiqua" w:hAnsi="Book Antiqua" w:cs="Arial"/>
          <w:lang w:val="en-US"/>
        </w:rPr>
        <w:t xml:space="preserve">joint venture between First Balfour, Inc. and MRAIL, Inc. (“First-Balfour-MRAIL JV”), formed for the purpose of undertaking the </w:t>
      </w:r>
      <w:r w:rsidR="00F740FA" w:rsidRPr="0059692A">
        <w:rPr>
          <w:rFonts w:ascii="Book Antiqua" w:hAnsi="Book Antiqua" w:cs="Arial"/>
          <w:i/>
          <w:iCs/>
          <w:lang w:val="en-US"/>
        </w:rPr>
        <w:t xml:space="preserve">Rehabilitation of the LRT Line 1 Rectifier Substations </w:t>
      </w:r>
      <w:r w:rsidR="00F740FA" w:rsidRPr="0059692A">
        <w:rPr>
          <w:rFonts w:ascii="Book Antiqua" w:hAnsi="Book Antiqua" w:cs="Arial"/>
          <w:lang w:val="en-US"/>
        </w:rPr>
        <w:t xml:space="preserve">(“JV Project”), is exempt from the 2% creditable withholding tax pursuant to </w:t>
      </w:r>
      <w:r w:rsidR="00D74EA5" w:rsidRPr="0059692A">
        <w:rPr>
          <w:rFonts w:ascii="Book Antiqua" w:hAnsi="Book Antiqua" w:cs="Arial"/>
          <w:lang w:val="en-US"/>
        </w:rPr>
        <w:t xml:space="preserve">RR </w:t>
      </w:r>
      <w:r w:rsidR="00F740FA" w:rsidRPr="0059692A">
        <w:rPr>
          <w:rFonts w:ascii="Book Antiqua" w:hAnsi="Book Antiqua" w:cs="Arial"/>
          <w:lang w:val="en-US"/>
        </w:rPr>
        <w:t xml:space="preserve">No. 14-2002, as amended by RR No. 11-2018. </w:t>
      </w:r>
      <w:r w:rsidR="00111BA7" w:rsidRPr="0059692A">
        <w:rPr>
          <w:rFonts w:ascii="Book Antiqua" w:hAnsi="Book Antiqua" w:cs="Arial"/>
          <w:lang w:val="en-US"/>
        </w:rPr>
        <w:t xml:space="preserve">The BIR held that pursuant to Section </w:t>
      </w:r>
      <w:r w:rsidR="00111BA7" w:rsidRPr="0059692A">
        <w:rPr>
          <w:rFonts w:ascii="Book Antiqua" w:hAnsi="Book Antiqua" w:cs="Arial"/>
          <w:lang w:val="en-US"/>
        </w:rPr>
        <w:lastRenderedPageBreak/>
        <w:t xml:space="preserve">22(B) of the National Internal Revenue Code (“NIRC”), </w:t>
      </w:r>
      <w:r w:rsidR="00C91CB8" w:rsidRPr="0059692A">
        <w:rPr>
          <w:rFonts w:ascii="Book Antiqua" w:hAnsi="Book Antiqua" w:cs="Arial"/>
          <w:lang w:val="en-US"/>
        </w:rPr>
        <w:t xml:space="preserve">the term “corporation” does not include joint ventures formed for the purpose of undertaking construction projects. </w:t>
      </w:r>
      <w:r w:rsidR="006773FF" w:rsidRPr="0059692A">
        <w:rPr>
          <w:rFonts w:ascii="Book Antiqua" w:hAnsi="Book Antiqua" w:cs="Arial"/>
          <w:lang w:val="en-US"/>
        </w:rPr>
        <w:t>Likewise, Section 2.57.2(5) of RR No. 2-98</w:t>
      </w:r>
      <w:r w:rsidR="00EF6A11" w:rsidRPr="0059692A">
        <w:rPr>
          <w:rFonts w:ascii="Book Antiqua" w:hAnsi="Book Antiqua" w:cs="Arial"/>
          <w:lang w:val="en-US"/>
        </w:rPr>
        <w:t xml:space="preserve"> and Section 3 of RR No. 10-2012 both</w:t>
      </w:r>
      <w:r w:rsidR="006773FF" w:rsidRPr="0059692A">
        <w:rPr>
          <w:rFonts w:ascii="Book Antiqua" w:hAnsi="Book Antiqua" w:cs="Arial"/>
          <w:lang w:val="en-US"/>
        </w:rPr>
        <w:t xml:space="preserve"> state that joint ventures formed for the purpose of undertaking construction projects shall </w:t>
      </w:r>
      <w:r w:rsidR="00EF6A11" w:rsidRPr="0059692A">
        <w:rPr>
          <w:rFonts w:ascii="Book Antiqua" w:hAnsi="Book Antiqua" w:cs="Arial"/>
          <w:lang w:val="en-US"/>
        </w:rPr>
        <w:t xml:space="preserve">not be taxable as a corporation, provided that they comply with certain requirements, namely: (1) </w:t>
      </w:r>
      <w:r w:rsidR="00CA5F37" w:rsidRPr="0059692A">
        <w:rPr>
          <w:rFonts w:ascii="Book Antiqua" w:hAnsi="Book Antiqua" w:cs="Arial"/>
          <w:lang w:val="en-US"/>
        </w:rPr>
        <w:t xml:space="preserve">should involve joining or pooling of resources by licensed local contractors that is, licensed as general contract by the Philippine Contractors </w:t>
      </w:r>
      <w:r w:rsidR="00D74EA5" w:rsidRPr="0059692A">
        <w:rPr>
          <w:rFonts w:ascii="Book Antiqua" w:hAnsi="Book Antiqua" w:cs="Arial"/>
          <w:lang w:val="en-US"/>
        </w:rPr>
        <w:t>Accreditation</w:t>
      </w:r>
      <w:r w:rsidR="00CA5F37" w:rsidRPr="0059692A">
        <w:rPr>
          <w:rFonts w:ascii="Book Antiqua" w:hAnsi="Book Antiqua" w:cs="Arial"/>
          <w:lang w:val="en-US"/>
        </w:rPr>
        <w:t xml:space="preserve"> Board (“PCAB”) of the Department of Trade and Industry; (2) the local contractors are engaged in construction business; and (3) the joint venture itself must likewise be duly licensed as such by PCAB. </w:t>
      </w:r>
      <w:r w:rsidR="00BE52EF" w:rsidRPr="0059692A">
        <w:rPr>
          <w:rFonts w:ascii="Book Antiqua" w:hAnsi="Book Antiqua" w:cs="Arial"/>
          <w:lang w:val="en-US"/>
        </w:rPr>
        <w:t xml:space="preserve">Such being the case, the </w:t>
      </w:r>
      <w:proofErr w:type="gramStart"/>
      <w:r w:rsidR="00BE52EF" w:rsidRPr="0059692A">
        <w:rPr>
          <w:rFonts w:ascii="Book Antiqua" w:hAnsi="Book Antiqua" w:cs="Arial"/>
          <w:lang w:val="en-US"/>
        </w:rPr>
        <w:t>First-Balfour</w:t>
      </w:r>
      <w:proofErr w:type="gramEnd"/>
      <w:r w:rsidR="00BE52EF" w:rsidRPr="0059692A">
        <w:rPr>
          <w:rFonts w:ascii="Book Antiqua" w:hAnsi="Book Antiqua" w:cs="Arial"/>
          <w:lang w:val="en-US"/>
        </w:rPr>
        <w:t>-MRAIL JV is considered a joint venture not taxable as a corporation for complying with the foregoing conditions</w:t>
      </w:r>
      <w:r w:rsidR="007359E0" w:rsidRPr="0059692A">
        <w:rPr>
          <w:rFonts w:ascii="Book Antiqua" w:hAnsi="Book Antiqua" w:cs="Arial"/>
          <w:lang w:val="en-US"/>
        </w:rPr>
        <w:t xml:space="preserve">, and the gross payment thereof on the JV Project are likewise not subject to 2% creditable withholding tax. </w:t>
      </w:r>
    </w:p>
    <w:p w14:paraId="3AE49A12" w14:textId="6EF7814C" w:rsidR="001A4A0F" w:rsidRDefault="001A4A0F" w:rsidP="00211A5B">
      <w:pPr>
        <w:jc w:val="both"/>
        <w:rPr>
          <w:rFonts w:ascii="Book Antiqua" w:hAnsi="Book Antiqua" w:cs="Arial"/>
          <w:lang w:val="en-US"/>
        </w:rPr>
      </w:pPr>
    </w:p>
    <w:p w14:paraId="28283BDE" w14:textId="2A8D85D9" w:rsidR="001A4A0F" w:rsidRPr="000762C1" w:rsidRDefault="001A4A0F" w:rsidP="00211A5B">
      <w:pPr>
        <w:jc w:val="both"/>
        <w:rPr>
          <w:rFonts w:ascii="Book Antiqua" w:hAnsi="Book Antiqua" w:cs="Arial"/>
          <w:lang w:val="en-US"/>
        </w:rPr>
      </w:pPr>
    </w:p>
    <w:p w14:paraId="12549347" w14:textId="26EDA80A" w:rsidR="001A4A0F" w:rsidRPr="000762C1" w:rsidRDefault="000762C1" w:rsidP="00211A5B">
      <w:pPr>
        <w:jc w:val="both"/>
        <w:rPr>
          <w:rFonts w:ascii="Book Antiqua" w:hAnsi="Book Antiqua" w:cs="Arial"/>
          <w:b/>
          <w:bCs/>
          <w:u w:val="single"/>
          <w:lang w:val="en-US"/>
        </w:rPr>
      </w:pPr>
      <w:r w:rsidRPr="000762C1">
        <w:rPr>
          <w:rFonts w:ascii="Book Antiqua" w:hAnsi="Book Antiqua" w:cs="Arial"/>
          <w:b/>
          <w:bCs/>
          <w:lang w:val="en-US"/>
        </w:rPr>
        <w:t xml:space="preserve">                                       </w:t>
      </w:r>
      <w:r w:rsidR="001A4A0F" w:rsidRPr="000762C1">
        <w:rPr>
          <w:rFonts w:ascii="Book Antiqua" w:hAnsi="Book Antiqua" w:cs="Arial"/>
          <w:b/>
          <w:bCs/>
          <w:u w:val="single"/>
          <w:lang w:val="en-US"/>
        </w:rPr>
        <w:t xml:space="preserve">Bureau of Internal Revenue – </w:t>
      </w:r>
      <w:r w:rsidRPr="000762C1">
        <w:rPr>
          <w:rFonts w:ascii="Book Antiqua" w:hAnsi="Book Antiqua" w:cs="Arial"/>
          <w:b/>
          <w:bCs/>
          <w:u w:val="single"/>
          <w:lang w:val="en-US"/>
        </w:rPr>
        <w:t>Advisories</w:t>
      </w:r>
    </w:p>
    <w:p w14:paraId="6B19B25B" w14:textId="42245071" w:rsidR="001A4A0F" w:rsidRPr="000762C1" w:rsidRDefault="001A4A0F" w:rsidP="00211A5B">
      <w:pPr>
        <w:jc w:val="both"/>
        <w:rPr>
          <w:rFonts w:ascii="Book Antiqua" w:hAnsi="Book Antiqua" w:cs="Arial"/>
          <w:u w:val="single"/>
          <w:lang w:val="en-US"/>
        </w:rPr>
      </w:pPr>
      <w:r w:rsidRPr="000762C1">
        <w:rPr>
          <w:rFonts w:ascii="Book Antiqua" w:hAnsi="Book Antiqua" w:cs="Arial"/>
          <w:lang w:val="en-US"/>
        </w:rPr>
        <w:t xml:space="preserve">                                     </w:t>
      </w:r>
    </w:p>
    <w:p w14:paraId="45871558" w14:textId="6A4AB991" w:rsidR="001A4A0F" w:rsidRDefault="001A4A0F" w:rsidP="00211A5B">
      <w:pPr>
        <w:jc w:val="both"/>
        <w:rPr>
          <w:rFonts w:ascii="Book Antiqua" w:hAnsi="Book Antiqua" w:cs="Arial"/>
          <w:lang w:val="en-US"/>
        </w:rPr>
      </w:pPr>
    </w:p>
    <w:p w14:paraId="4FBDDF65" w14:textId="1612993D" w:rsidR="001A4A0F" w:rsidRDefault="000762C1" w:rsidP="00211A5B">
      <w:pPr>
        <w:jc w:val="both"/>
        <w:rPr>
          <w:rFonts w:ascii="Book Antiqua" w:hAnsi="Book Antiqua" w:cs="Arial"/>
          <w:b/>
          <w:bCs/>
          <w:lang w:val="en-US"/>
        </w:rPr>
      </w:pPr>
      <w:r w:rsidRPr="000762C1">
        <w:rPr>
          <w:rFonts w:ascii="Book Antiqua" w:hAnsi="Book Antiqua" w:cs="Arial"/>
          <w:b/>
          <w:bCs/>
          <w:lang w:val="en-US"/>
        </w:rPr>
        <w:t xml:space="preserve">ADVISORY ON THE FILING OF AMENDED INCOME TAX </w:t>
      </w:r>
      <w:proofErr w:type="gramStart"/>
      <w:r w:rsidRPr="000762C1">
        <w:rPr>
          <w:rFonts w:ascii="Book Antiqua" w:hAnsi="Book Antiqua" w:cs="Arial"/>
          <w:b/>
          <w:bCs/>
          <w:lang w:val="en-US"/>
        </w:rPr>
        <w:t xml:space="preserve">RETURNS </w:t>
      </w:r>
      <w:r>
        <w:rPr>
          <w:rFonts w:ascii="Book Antiqua" w:hAnsi="Book Antiqua" w:cs="Arial"/>
          <w:b/>
          <w:bCs/>
          <w:lang w:val="en-US"/>
        </w:rPr>
        <w:t xml:space="preserve"> (</w:t>
      </w:r>
      <w:proofErr w:type="gramEnd"/>
      <w:r>
        <w:rPr>
          <w:rFonts w:ascii="Book Antiqua" w:hAnsi="Book Antiqua" w:cs="Arial"/>
          <w:b/>
          <w:bCs/>
          <w:lang w:val="en-US"/>
        </w:rPr>
        <w:t>“AITR”)</w:t>
      </w:r>
      <w:r w:rsidRPr="000762C1">
        <w:rPr>
          <w:rFonts w:ascii="Book Antiqua" w:hAnsi="Book Antiqua" w:cs="Arial"/>
          <w:b/>
          <w:bCs/>
          <w:lang w:val="en-US"/>
        </w:rPr>
        <w:t>FOR TAX PERIOD ENDING DECEMBER 31, 2020</w:t>
      </w:r>
      <w:r w:rsidR="00DB6910">
        <w:rPr>
          <w:rFonts w:ascii="Book Antiqua" w:hAnsi="Book Antiqua" w:cs="Arial"/>
          <w:b/>
          <w:bCs/>
          <w:lang w:val="en-US"/>
        </w:rPr>
        <w:t xml:space="preserve"> – April 28, 2021</w:t>
      </w:r>
    </w:p>
    <w:p w14:paraId="2BF36B5B" w14:textId="346A4E7D" w:rsidR="000762C1" w:rsidRDefault="000762C1" w:rsidP="00211A5B">
      <w:pPr>
        <w:jc w:val="both"/>
        <w:rPr>
          <w:rFonts w:ascii="Book Antiqua" w:hAnsi="Book Antiqua" w:cs="Arial"/>
          <w:b/>
          <w:bCs/>
          <w:lang w:val="en-US"/>
        </w:rPr>
      </w:pPr>
    </w:p>
    <w:p w14:paraId="6D51CF60" w14:textId="2C42A2F3" w:rsidR="000762C1" w:rsidRPr="000762C1" w:rsidRDefault="000762C1" w:rsidP="00211A5B">
      <w:pPr>
        <w:jc w:val="both"/>
        <w:rPr>
          <w:rFonts w:ascii="Book Antiqua" w:hAnsi="Book Antiqua" w:cs="Arial"/>
          <w:lang w:val="en-US"/>
        </w:rPr>
      </w:pPr>
    </w:p>
    <w:p w14:paraId="13B3D89E" w14:textId="51E67EF2" w:rsidR="000762C1" w:rsidRDefault="000762C1" w:rsidP="00211A5B">
      <w:pPr>
        <w:jc w:val="both"/>
        <w:rPr>
          <w:rFonts w:ascii="Book Antiqua" w:hAnsi="Book Antiqua" w:cs="Arial"/>
          <w:lang w:val="en-US"/>
        </w:rPr>
      </w:pPr>
      <w:r>
        <w:rPr>
          <w:rFonts w:ascii="Book Antiqua" w:hAnsi="Book Antiqua" w:cs="Arial"/>
          <w:lang w:val="en-US"/>
        </w:rPr>
        <w:t xml:space="preserve">Attachments to the electronically filed amended AITRs shall be submitted on or before May 30, </w:t>
      </w:r>
      <w:proofErr w:type="gramStart"/>
      <w:r>
        <w:rPr>
          <w:rFonts w:ascii="Book Antiqua" w:hAnsi="Book Antiqua" w:cs="Arial"/>
          <w:lang w:val="en-US"/>
        </w:rPr>
        <w:t>2021</w:t>
      </w:r>
      <w:proofErr w:type="gramEnd"/>
      <w:r>
        <w:rPr>
          <w:rFonts w:ascii="Book Antiqua" w:hAnsi="Book Antiqua" w:cs="Arial"/>
          <w:lang w:val="en-US"/>
        </w:rPr>
        <w:t xml:space="preserve"> to the Revenue District Office where the taxpayer is registered or through the Electronic Audited Financial Statement System.</w:t>
      </w:r>
    </w:p>
    <w:p w14:paraId="12A0F25E" w14:textId="437EC708" w:rsidR="000762C1" w:rsidRDefault="000762C1" w:rsidP="00211A5B">
      <w:pPr>
        <w:jc w:val="both"/>
        <w:rPr>
          <w:rFonts w:ascii="Book Antiqua" w:hAnsi="Book Antiqua" w:cs="Arial"/>
          <w:lang w:val="en-US"/>
        </w:rPr>
      </w:pPr>
    </w:p>
    <w:p w14:paraId="71A6514C" w14:textId="1F1A2757" w:rsidR="000762C1" w:rsidRDefault="000762C1" w:rsidP="00211A5B">
      <w:pPr>
        <w:jc w:val="both"/>
        <w:rPr>
          <w:rFonts w:ascii="Book Antiqua" w:hAnsi="Book Antiqua" w:cs="Arial"/>
          <w:lang w:val="en-US"/>
        </w:rPr>
      </w:pPr>
      <w:r>
        <w:rPr>
          <w:rFonts w:ascii="Book Antiqua" w:hAnsi="Book Antiqua" w:cs="Arial"/>
          <w:lang w:val="en-US"/>
        </w:rPr>
        <w:t xml:space="preserve">Attachments to the </w:t>
      </w:r>
      <w:proofErr w:type="gramStart"/>
      <w:r>
        <w:rPr>
          <w:rFonts w:ascii="Book Antiqua" w:hAnsi="Book Antiqua" w:cs="Arial"/>
          <w:lang w:val="en-US"/>
        </w:rPr>
        <w:t>tentative  AITR</w:t>
      </w:r>
      <w:proofErr w:type="gramEnd"/>
      <w:r>
        <w:rPr>
          <w:rFonts w:ascii="Book Antiqua" w:hAnsi="Book Antiqua" w:cs="Arial"/>
          <w:lang w:val="en-US"/>
        </w:rPr>
        <w:t xml:space="preserve"> electronically filed on or before April 15, 2021 shall be made on or before May 30, 2021.</w:t>
      </w:r>
    </w:p>
    <w:p w14:paraId="4963EDA0" w14:textId="199FF5BC" w:rsidR="000762C1" w:rsidRDefault="000762C1" w:rsidP="00211A5B">
      <w:pPr>
        <w:jc w:val="both"/>
        <w:rPr>
          <w:rFonts w:ascii="Book Antiqua" w:hAnsi="Book Antiqua" w:cs="Arial"/>
          <w:lang w:val="en-US"/>
        </w:rPr>
      </w:pPr>
    </w:p>
    <w:p w14:paraId="28A2E246" w14:textId="2268B8EC" w:rsidR="000762C1" w:rsidRDefault="000762C1" w:rsidP="00211A5B">
      <w:pPr>
        <w:jc w:val="both"/>
        <w:rPr>
          <w:rFonts w:ascii="Book Antiqua" w:hAnsi="Book Antiqua" w:cs="Arial"/>
          <w:lang w:val="en-US"/>
        </w:rPr>
      </w:pPr>
      <w:proofErr w:type="gramStart"/>
      <w:r>
        <w:rPr>
          <w:rFonts w:ascii="Book Antiqua" w:hAnsi="Book Antiqua" w:cs="Arial"/>
          <w:lang w:val="en-US"/>
        </w:rPr>
        <w:t>Taxpayers  who</w:t>
      </w:r>
      <w:proofErr w:type="gramEnd"/>
      <w:r>
        <w:rPr>
          <w:rFonts w:ascii="Book Antiqua" w:hAnsi="Book Antiqua" w:cs="Arial"/>
          <w:lang w:val="en-US"/>
        </w:rPr>
        <w:t xml:space="preserve"> submitted the attachments to the AITR but will amend the their returns because of changes in the tax rates do not need to submit </w:t>
      </w:r>
      <w:r w:rsidR="00DB6910">
        <w:rPr>
          <w:rFonts w:ascii="Book Antiqua" w:hAnsi="Book Antiqua" w:cs="Arial"/>
          <w:lang w:val="en-US"/>
        </w:rPr>
        <w:t>re-submit the same documents. But taxpayers amending their AITR for reasons other than correction of AITR shall submit the required documentary attachments on or before May 30, 2021.</w:t>
      </w:r>
    </w:p>
    <w:p w14:paraId="268B03D0" w14:textId="3E1E0061" w:rsidR="00DB6910" w:rsidRDefault="00DB6910" w:rsidP="00211A5B">
      <w:pPr>
        <w:jc w:val="both"/>
        <w:rPr>
          <w:rFonts w:ascii="Book Antiqua" w:hAnsi="Book Antiqua" w:cs="Arial"/>
          <w:lang w:val="en-US"/>
        </w:rPr>
      </w:pPr>
    </w:p>
    <w:p w14:paraId="20015D76" w14:textId="628D843D" w:rsidR="00DB6910" w:rsidRDefault="00DB6910" w:rsidP="00211A5B">
      <w:pPr>
        <w:jc w:val="both"/>
        <w:rPr>
          <w:rFonts w:ascii="Book Antiqua" w:hAnsi="Book Antiqua" w:cs="Arial"/>
          <w:lang w:val="en-US"/>
        </w:rPr>
      </w:pPr>
      <w:r>
        <w:rPr>
          <w:rFonts w:ascii="Book Antiqua" w:hAnsi="Book Antiqua" w:cs="Arial"/>
          <w:lang w:val="en-US"/>
        </w:rPr>
        <w:t>Note: Taxpayers shall not be penalized for not submitting attachments to filed AITR but later amended on or before May 15, 2021.</w:t>
      </w:r>
    </w:p>
    <w:p w14:paraId="6A16F226" w14:textId="0D547B6B" w:rsidR="00DB6910" w:rsidRDefault="00DB6910" w:rsidP="00211A5B">
      <w:pPr>
        <w:jc w:val="both"/>
        <w:rPr>
          <w:rFonts w:ascii="Book Antiqua" w:hAnsi="Book Antiqua" w:cs="Arial"/>
          <w:lang w:val="en-US"/>
        </w:rPr>
      </w:pPr>
    </w:p>
    <w:p w14:paraId="7D0F62A7" w14:textId="52489601" w:rsidR="00DB6910" w:rsidRDefault="00DB6910" w:rsidP="00211A5B">
      <w:pPr>
        <w:jc w:val="both"/>
        <w:rPr>
          <w:rFonts w:ascii="Book Antiqua" w:hAnsi="Book Antiqua" w:cs="Arial"/>
          <w:lang w:val="en-US"/>
        </w:rPr>
      </w:pPr>
    </w:p>
    <w:p w14:paraId="45AF8F96" w14:textId="13E33D6F" w:rsidR="00DB6910" w:rsidRDefault="00DB6910" w:rsidP="00211A5B">
      <w:pPr>
        <w:jc w:val="both"/>
        <w:rPr>
          <w:rFonts w:ascii="Book Antiqua" w:hAnsi="Book Antiqua" w:cs="Arial"/>
          <w:b/>
          <w:bCs/>
          <w:lang w:val="en-US"/>
        </w:rPr>
      </w:pPr>
      <w:r w:rsidRPr="00DB6910">
        <w:rPr>
          <w:rFonts w:ascii="Book Antiqua" w:hAnsi="Book Antiqua" w:cs="Arial"/>
          <w:b/>
          <w:bCs/>
          <w:lang w:val="en-US"/>
        </w:rPr>
        <w:t xml:space="preserve">ADVISORY FOR MANDATED USERS OF EBIRFORMS RE-INCOME TAXES </w:t>
      </w:r>
      <w:proofErr w:type="gramStart"/>
      <w:r w:rsidRPr="00DB6910">
        <w:rPr>
          <w:rFonts w:ascii="Book Antiqua" w:hAnsi="Book Antiqua" w:cs="Arial"/>
          <w:b/>
          <w:bCs/>
          <w:lang w:val="en-US"/>
        </w:rPr>
        <w:t>WITHHELD</w:t>
      </w:r>
      <w:r>
        <w:rPr>
          <w:rFonts w:ascii="Book Antiqua" w:hAnsi="Book Antiqua" w:cs="Arial"/>
          <w:b/>
          <w:bCs/>
          <w:lang w:val="en-US"/>
        </w:rPr>
        <w:t xml:space="preserve">  --</w:t>
      </w:r>
      <w:proofErr w:type="gramEnd"/>
      <w:r>
        <w:rPr>
          <w:rFonts w:ascii="Book Antiqua" w:hAnsi="Book Antiqua" w:cs="Arial"/>
          <w:b/>
          <w:bCs/>
          <w:lang w:val="en-US"/>
        </w:rPr>
        <w:t xml:space="preserve"> April 29, 2021</w:t>
      </w:r>
    </w:p>
    <w:p w14:paraId="0FB88D44" w14:textId="3610172F" w:rsidR="00DB6910" w:rsidRDefault="00DB6910" w:rsidP="00211A5B">
      <w:pPr>
        <w:jc w:val="both"/>
        <w:rPr>
          <w:rFonts w:ascii="Book Antiqua" w:hAnsi="Book Antiqua" w:cs="Arial"/>
          <w:b/>
          <w:bCs/>
          <w:lang w:val="en-US"/>
        </w:rPr>
      </w:pPr>
    </w:p>
    <w:p w14:paraId="0B75BEB3" w14:textId="77777777" w:rsidR="00B75438" w:rsidRDefault="00B75438" w:rsidP="00211A5B">
      <w:pPr>
        <w:jc w:val="both"/>
        <w:rPr>
          <w:rFonts w:ascii="Book Antiqua" w:hAnsi="Book Antiqua" w:cs="Arial"/>
          <w:lang w:val="en-US"/>
        </w:rPr>
      </w:pPr>
    </w:p>
    <w:p w14:paraId="225649BB" w14:textId="42847FE6" w:rsidR="00DB6910" w:rsidRPr="00B75438" w:rsidRDefault="00B75438" w:rsidP="00211A5B">
      <w:pPr>
        <w:jc w:val="both"/>
        <w:rPr>
          <w:rFonts w:ascii="Book Antiqua" w:hAnsi="Book Antiqua" w:cs="Arial"/>
          <w:lang w:val="en-US"/>
        </w:rPr>
      </w:pPr>
      <w:r>
        <w:rPr>
          <w:rFonts w:ascii="Book Antiqua" w:hAnsi="Book Antiqua" w:cs="Arial"/>
          <w:lang w:val="en-US"/>
        </w:rPr>
        <w:lastRenderedPageBreak/>
        <w:t>Since t</w:t>
      </w:r>
      <w:r w:rsidR="00DB6910" w:rsidRPr="00B75438">
        <w:rPr>
          <w:rFonts w:ascii="Book Antiqua" w:hAnsi="Book Antiqua" w:cs="Arial"/>
          <w:lang w:val="en-US"/>
        </w:rPr>
        <w:t xml:space="preserve">he corresponding adjustments to BIR Form No. 1601-FQ in </w:t>
      </w:r>
      <w:proofErr w:type="spellStart"/>
      <w:r w:rsidR="00DB6910" w:rsidRPr="00B75438">
        <w:rPr>
          <w:rFonts w:ascii="Book Antiqua" w:hAnsi="Book Antiqua" w:cs="Arial"/>
          <w:lang w:val="en-US"/>
        </w:rPr>
        <w:t>eBIRForms</w:t>
      </w:r>
      <w:proofErr w:type="spellEnd"/>
      <w:r w:rsidR="00DB6910" w:rsidRPr="00B75438">
        <w:rPr>
          <w:rFonts w:ascii="Book Antiqua" w:hAnsi="Book Antiqua" w:cs="Arial"/>
          <w:lang w:val="en-US"/>
        </w:rPr>
        <w:t xml:space="preserve"> Packagev7.9 cannot be completed before April 30,</w:t>
      </w:r>
      <w:r>
        <w:rPr>
          <w:rFonts w:ascii="Book Antiqua" w:hAnsi="Book Antiqua" w:cs="Arial"/>
          <w:lang w:val="en-US"/>
        </w:rPr>
        <w:t xml:space="preserve"> </w:t>
      </w:r>
      <w:r w:rsidR="00DB6910" w:rsidRPr="00B75438">
        <w:rPr>
          <w:rFonts w:ascii="Book Antiqua" w:hAnsi="Book Antiqua" w:cs="Arial"/>
          <w:lang w:val="en-US"/>
        </w:rPr>
        <w:t>2021</w:t>
      </w:r>
      <w:r>
        <w:rPr>
          <w:rFonts w:ascii="Book Antiqua" w:hAnsi="Book Antiqua" w:cs="Arial"/>
          <w:lang w:val="en-US"/>
        </w:rPr>
        <w:t xml:space="preserve">, the BIR mandated users of said electronic form to use Payment Form No.0605 in paying final taxes due. </w:t>
      </w:r>
    </w:p>
    <w:p w14:paraId="4D07C2D5" w14:textId="3DCA4FA1" w:rsidR="00DB6910" w:rsidRDefault="00DB6910" w:rsidP="00211A5B">
      <w:pPr>
        <w:jc w:val="both"/>
        <w:rPr>
          <w:rFonts w:ascii="Book Antiqua" w:hAnsi="Book Antiqua" w:cs="Arial"/>
          <w:lang w:val="en-US"/>
        </w:rPr>
      </w:pPr>
    </w:p>
    <w:p w14:paraId="155D9CB2" w14:textId="43511DE6" w:rsidR="00DB6910" w:rsidRDefault="00DB6910" w:rsidP="00211A5B">
      <w:pPr>
        <w:jc w:val="both"/>
        <w:rPr>
          <w:rFonts w:ascii="Book Antiqua" w:hAnsi="Book Antiqua" w:cs="Arial"/>
          <w:lang w:val="en-US"/>
        </w:rPr>
      </w:pPr>
    </w:p>
    <w:p w14:paraId="498B4EDB" w14:textId="005CF6B0" w:rsidR="000C7E32" w:rsidRPr="0059692A" w:rsidRDefault="000C7E32" w:rsidP="00211A5B">
      <w:pPr>
        <w:jc w:val="both"/>
        <w:rPr>
          <w:rFonts w:ascii="Book Antiqua" w:hAnsi="Book Antiqua" w:cs="Arial"/>
          <w:lang w:val="en-US"/>
        </w:rPr>
      </w:pPr>
    </w:p>
    <w:p w14:paraId="09706A39" w14:textId="2B96F5CE" w:rsidR="000C7E32" w:rsidRPr="0059692A" w:rsidRDefault="000C6C33" w:rsidP="00BD1230">
      <w:pPr>
        <w:jc w:val="center"/>
        <w:rPr>
          <w:rFonts w:ascii="Book Antiqua" w:hAnsi="Book Antiqua" w:cs="Arial"/>
          <w:b/>
          <w:bCs/>
          <w:u w:val="single"/>
          <w:lang w:val="en-US"/>
        </w:rPr>
      </w:pPr>
      <w:r w:rsidRPr="0059692A">
        <w:rPr>
          <w:rFonts w:ascii="Book Antiqua" w:hAnsi="Book Antiqua" w:cs="Arial"/>
          <w:b/>
          <w:bCs/>
          <w:u w:val="single"/>
          <w:lang w:val="en-US"/>
        </w:rPr>
        <w:t xml:space="preserve">Bureau of Customs – </w:t>
      </w:r>
      <w:r w:rsidR="00BD1230" w:rsidRPr="0059692A">
        <w:rPr>
          <w:rFonts w:ascii="Book Antiqua" w:hAnsi="Book Antiqua" w:cs="Arial"/>
          <w:b/>
          <w:bCs/>
          <w:u w:val="single"/>
          <w:lang w:val="en-US"/>
        </w:rPr>
        <w:t>Administrative Order</w:t>
      </w:r>
    </w:p>
    <w:p w14:paraId="5960B494" w14:textId="6DFC7C50" w:rsidR="000C359F" w:rsidRPr="0059692A" w:rsidRDefault="000C359F" w:rsidP="000C359F">
      <w:pPr>
        <w:rPr>
          <w:rFonts w:ascii="Book Antiqua" w:hAnsi="Book Antiqua" w:cs="Arial"/>
          <w:b/>
          <w:bCs/>
          <w:u w:val="single"/>
          <w:lang w:val="en-US"/>
        </w:rPr>
      </w:pPr>
    </w:p>
    <w:p w14:paraId="0A39EE25" w14:textId="731CC715" w:rsidR="000C359F" w:rsidRPr="0059692A" w:rsidRDefault="000C359F" w:rsidP="009D4F8F">
      <w:pPr>
        <w:jc w:val="both"/>
        <w:rPr>
          <w:rFonts w:ascii="Book Antiqua" w:hAnsi="Book Antiqua" w:cs="Arial"/>
          <w:b/>
          <w:bCs/>
          <w:lang w:val="en-US"/>
        </w:rPr>
      </w:pPr>
      <w:r w:rsidRPr="0059692A">
        <w:rPr>
          <w:rFonts w:ascii="Book Antiqua" w:hAnsi="Book Antiqua" w:cs="Arial"/>
          <w:b/>
          <w:bCs/>
          <w:lang w:val="en-US"/>
        </w:rPr>
        <w:t>CUSTOMS ADMNISTRATIVE ORDER NO. 01-2021</w:t>
      </w:r>
      <w:r w:rsidR="001E536F" w:rsidRPr="0059692A">
        <w:rPr>
          <w:rFonts w:ascii="Book Antiqua" w:hAnsi="Book Antiqua" w:cs="Arial"/>
          <w:b/>
          <w:bCs/>
          <w:lang w:val="en-US"/>
        </w:rPr>
        <w:t xml:space="preserve">. SECURITY TO GUARANTEE PAYMENT OF DUTIES AND TAXES AND OTHER OBLIGATIONS. </w:t>
      </w:r>
      <w:r w:rsidR="007D6C0E" w:rsidRPr="0059692A">
        <w:rPr>
          <w:rFonts w:ascii="Book Antiqua" w:hAnsi="Book Antiqua" w:cs="Arial"/>
          <w:b/>
          <w:bCs/>
          <w:lang w:val="en-US"/>
        </w:rPr>
        <w:t>Ja</w:t>
      </w:r>
      <w:r w:rsidR="00BD4830" w:rsidRPr="0059692A">
        <w:rPr>
          <w:rFonts w:ascii="Book Antiqua" w:hAnsi="Book Antiqua" w:cs="Arial"/>
          <w:b/>
          <w:bCs/>
          <w:lang w:val="en-US"/>
        </w:rPr>
        <w:t>n</w:t>
      </w:r>
      <w:r w:rsidR="007D6C0E" w:rsidRPr="0059692A">
        <w:rPr>
          <w:rFonts w:ascii="Book Antiqua" w:hAnsi="Book Antiqua" w:cs="Arial"/>
          <w:b/>
          <w:bCs/>
          <w:lang w:val="en-US"/>
        </w:rPr>
        <w:t xml:space="preserve">uary 31, 2021. </w:t>
      </w:r>
    </w:p>
    <w:p w14:paraId="7B222F55" w14:textId="6CD712C5" w:rsidR="009D4F8F" w:rsidRPr="0059692A" w:rsidRDefault="009D4F8F" w:rsidP="009D4F8F">
      <w:pPr>
        <w:jc w:val="both"/>
        <w:rPr>
          <w:rFonts w:ascii="Book Antiqua" w:hAnsi="Book Antiqua" w:cs="Arial"/>
          <w:b/>
          <w:bCs/>
          <w:lang w:val="en-US"/>
        </w:rPr>
      </w:pPr>
    </w:p>
    <w:p w14:paraId="11F7EF8D" w14:textId="46FCB18D" w:rsidR="00E972A5" w:rsidRPr="0059692A" w:rsidRDefault="00A76B47" w:rsidP="009D4F8F">
      <w:pPr>
        <w:jc w:val="both"/>
        <w:rPr>
          <w:rFonts w:ascii="Book Antiqua" w:hAnsi="Book Antiqua" w:cs="Arial"/>
          <w:lang w:val="en-US"/>
        </w:rPr>
      </w:pPr>
      <w:r w:rsidRPr="0059692A">
        <w:rPr>
          <w:rFonts w:ascii="Book Antiqua" w:hAnsi="Book Antiqua" w:cs="Arial"/>
          <w:lang w:val="en-US"/>
        </w:rPr>
        <w:t>Customs Administrative Order No. 01-2021 (“CAO 01-2021”)</w:t>
      </w:r>
      <w:r w:rsidR="00632902" w:rsidRPr="0059692A">
        <w:rPr>
          <w:rFonts w:ascii="Book Antiqua" w:hAnsi="Book Antiqua" w:cs="Arial"/>
          <w:lang w:val="en-US"/>
        </w:rPr>
        <w:t xml:space="preserve"> was issued to implement Section</w:t>
      </w:r>
      <w:r w:rsidR="009019B1" w:rsidRPr="0059692A">
        <w:rPr>
          <w:rFonts w:ascii="Book Antiqua" w:hAnsi="Book Antiqua" w:cs="Arial"/>
          <w:lang w:val="en-US"/>
        </w:rPr>
        <w:t>s</w:t>
      </w:r>
      <w:r w:rsidR="00632902" w:rsidRPr="0059692A">
        <w:rPr>
          <w:rFonts w:ascii="Book Antiqua" w:hAnsi="Book Antiqua" w:cs="Arial"/>
          <w:lang w:val="en-US"/>
        </w:rPr>
        <w:t xml:space="preserve"> 1506 and 1507 of R.A. No. 10863, otherwise </w:t>
      </w:r>
      <w:r w:rsidR="00244C76" w:rsidRPr="0059692A">
        <w:rPr>
          <w:rFonts w:ascii="Book Antiqua" w:hAnsi="Book Antiqua" w:cs="Arial"/>
          <w:lang w:val="en-US"/>
        </w:rPr>
        <w:t>known</w:t>
      </w:r>
      <w:r w:rsidR="00632902" w:rsidRPr="0059692A">
        <w:rPr>
          <w:rFonts w:ascii="Book Antiqua" w:hAnsi="Book Antiqua" w:cs="Arial"/>
          <w:lang w:val="en-US"/>
        </w:rPr>
        <w:t xml:space="preserve"> </w:t>
      </w:r>
      <w:r w:rsidR="00244C76" w:rsidRPr="0059692A">
        <w:rPr>
          <w:rFonts w:ascii="Book Antiqua" w:hAnsi="Book Antiqua" w:cs="Arial"/>
          <w:lang w:val="en-US"/>
        </w:rPr>
        <w:t>a</w:t>
      </w:r>
      <w:r w:rsidR="00632902" w:rsidRPr="0059692A">
        <w:rPr>
          <w:rFonts w:ascii="Book Antiqua" w:hAnsi="Book Antiqua" w:cs="Arial"/>
          <w:lang w:val="en-US"/>
        </w:rPr>
        <w:t xml:space="preserve">s the </w:t>
      </w:r>
      <w:r w:rsidR="00244C76" w:rsidRPr="0059692A">
        <w:rPr>
          <w:rFonts w:ascii="Book Antiqua" w:hAnsi="Book Antiqua" w:cs="Arial"/>
          <w:lang w:val="en-US"/>
        </w:rPr>
        <w:t>Customs Modernization and Tariff Act (“CMTA”).</w:t>
      </w:r>
      <w:r w:rsidRPr="0059692A">
        <w:rPr>
          <w:rFonts w:ascii="Book Antiqua" w:hAnsi="Book Antiqua" w:cs="Arial"/>
          <w:lang w:val="en-US"/>
        </w:rPr>
        <w:t xml:space="preserve"> This shall apply to all forms of security required to guarantee the payment of duties and taxes and other obligations for provided under the CMTA and other existing rules. </w:t>
      </w:r>
    </w:p>
    <w:p w14:paraId="7A1DC29D" w14:textId="4DB9D59A" w:rsidR="00B96DE3" w:rsidRPr="0059692A" w:rsidRDefault="00B96DE3" w:rsidP="009D4F8F">
      <w:pPr>
        <w:jc w:val="both"/>
        <w:rPr>
          <w:rFonts w:ascii="Book Antiqua" w:hAnsi="Book Antiqua" w:cs="Arial"/>
          <w:lang w:val="en-US"/>
        </w:rPr>
      </w:pPr>
    </w:p>
    <w:p w14:paraId="6D445287" w14:textId="67438CD3" w:rsidR="00B96DE3" w:rsidRPr="0059692A" w:rsidRDefault="00B96DE3" w:rsidP="009D4F8F">
      <w:pPr>
        <w:jc w:val="both"/>
        <w:rPr>
          <w:rFonts w:ascii="Book Antiqua" w:hAnsi="Book Antiqua" w:cs="Arial"/>
          <w:i/>
          <w:iCs/>
          <w:lang w:val="en-US"/>
        </w:rPr>
      </w:pPr>
      <w:r w:rsidRPr="0059692A">
        <w:rPr>
          <w:rFonts w:ascii="Book Antiqua" w:hAnsi="Book Antiqua" w:cs="Arial"/>
          <w:i/>
          <w:iCs/>
          <w:lang w:val="en-US"/>
        </w:rPr>
        <w:t xml:space="preserve">General Provisions: </w:t>
      </w:r>
    </w:p>
    <w:p w14:paraId="52F3174A" w14:textId="195BA686" w:rsidR="00A73AD8" w:rsidRPr="0059692A" w:rsidRDefault="00E9680E" w:rsidP="00B96DE3">
      <w:pPr>
        <w:pStyle w:val="ListParagraph"/>
        <w:numPr>
          <w:ilvl w:val="0"/>
          <w:numId w:val="3"/>
        </w:numPr>
        <w:jc w:val="both"/>
        <w:rPr>
          <w:rFonts w:ascii="Book Antiqua" w:hAnsi="Book Antiqua" w:cs="Arial"/>
          <w:lang w:val="en-US"/>
        </w:rPr>
      </w:pPr>
      <w:r w:rsidRPr="0059692A">
        <w:rPr>
          <w:rFonts w:ascii="Book Antiqua" w:hAnsi="Book Antiqua" w:cs="Arial"/>
          <w:lang w:val="en-US"/>
        </w:rPr>
        <w:t xml:space="preserve">Any party required to </w:t>
      </w:r>
      <w:r w:rsidR="00BF7447" w:rsidRPr="0059692A">
        <w:rPr>
          <w:rFonts w:ascii="Book Antiqua" w:hAnsi="Book Antiqua" w:cs="Arial"/>
          <w:lang w:val="en-US"/>
        </w:rPr>
        <w:t xml:space="preserve">provide security to guaranty the payment </w:t>
      </w:r>
      <w:r w:rsidR="00A73AD8" w:rsidRPr="0059692A">
        <w:rPr>
          <w:rFonts w:ascii="Book Antiqua" w:hAnsi="Book Antiqua" w:cs="Arial"/>
          <w:lang w:val="en-US"/>
        </w:rPr>
        <w:t xml:space="preserve">of duties and taxes and other obligations may choose form any of the following forms of security: (a) cash bond; (b) standby letter of credit or irrevocable letter of credit; (c) surety bond; and (d) any other acceptable forms of security such as written commitment in case of low risk and/or low value goods. </w:t>
      </w:r>
    </w:p>
    <w:p w14:paraId="6C101268" w14:textId="3CBF7604" w:rsidR="00B96DE3" w:rsidRPr="0059692A" w:rsidRDefault="00F64BBC" w:rsidP="00B96DE3">
      <w:pPr>
        <w:pStyle w:val="ListParagraph"/>
        <w:numPr>
          <w:ilvl w:val="0"/>
          <w:numId w:val="3"/>
        </w:numPr>
        <w:jc w:val="both"/>
        <w:rPr>
          <w:rFonts w:ascii="Book Antiqua" w:hAnsi="Book Antiqua" w:cs="Arial"/>
          <w:lang w:val="en-US"/>
        </w:rPr>
      </w:pPr>
      <w:r w:rsidRPr="0059692A">
        <w:rPr>
          <w:rFonts w:ascii="Book Antiqua" w:hAnsi="Book Antiqua" w:cs="Arial"/>
          <w:lang w:val="en-US"/>
        </w:rPr>
        <w:t xml:space="preserve">The required security shall be the lowest possible and shall not exceed the imposable duties, taxes, and other charges. </w:t>
      </w:r>
    </w:p>
    <w:p w14:paraId="181F5E7B" w14:textId="0384EAB2" w:rsidR="00F64BBC" w:rsidRPr="0059692A" w:rsidRDefault="00F64BBC" w:rsidP="00B96DE3">
      <w:pPr>
        <w:pStyle w:val="ListParagraph"/>
        <w:numPr>
          <w:ilvl w:val="0"/>
          <w:numId w:val="3"/>
        </w:numPr>
        <w:jc w:val="both"/>
        <w:rPr>
          <w:rFonts w:ascii="Book Antiqua" w:hAnsi="Book Antiqua" w:cs="Arial"/>
          <w:lang w:val="en-US"/>
        </w:rPr>
      </w:pPr>
      <w:r w:rsidRPr="0059692A">
        <w:rPr>
          <w:rFonts w:ascii="Book Antiqua" w:hAnsi="Book Antiqua" w:cs="Arial"/>
          <w:lang w:val="en-US"/>
        </w:rPr>
        <w:t xml:space="preserve">The District Collector may accept a one-time general security extend over such </w:t>
      </w:r>
      <w:proofErr w:type="gramStart"/>
      <w:r w:rsidRPr="0059692A">
        <w:rPr>
          <w:rFonts w:ascii="Book Antiqua" w:hAnsi="Book Antiqua" w:cs="Arial"/>
          <w:lang w:val="en-US"/>
        </w:rPr>
        <w:t>period of time</w:t>
      </w:r>
      <w:proofErr w:type="gramEnd"/>
      <w:r w:rsidRPr="0059692A">
        <w:rPr>
          <w:rFonts w:ascii="Book Antiqua" w:hAnsi="Book Antiqua" w:cs="Arial"/>
          <w:lang w:val="en-US"/>
        </w:rPr>
        <w:t xml:space="preserve"> and covering such transactions of the party in question. </w:t>
      </w:r>
    </w:p>
    <w:p w14:paraId="1D2C7001" w14:textId="7CD7259E" w:rsidR="00200139" w:rsidRPr="0059692A" w:rsidRDefault="00200139" w:rsidP="00B96DE3">
      <w:pPr>
        <w:pStyle w:val="ListParagraph"/>
        <w:numPr>
          <w:ilvl w:val="0"/>
          <w:numId w:val="3"/>
        </w:numPr>
        <w:jc w:val="both"/>
        <w:rPr>
          <w:rFonts w:ascii="Book Antiqua" w:hAnsi="Book Antiqua" w:cs="Arial"/>
          <w:lang w:val="en-US"/>
        </w:rPr>
      </w:pPr>
      <w:r w:rsidRPr="0059692A">
        <w:rPr>
          <w:rFonts w:ascii="Book Antiqua" w:hAnsi="Book Antiqua" w:cs="Arial"/>
          <w:lang w:val="en-US"/>
        </w:rPr>
        <w:t>General Security is acceptable</w:t>
      </w:r>
      <w:r w:rsidR="00624FEE" w:rsidRPr="0059692A">
        <w:rPr>
          <w:rFonts w:ascii="Book Antiqua" w:hAnsi="Book Antiqua" w:cs="Arial"/>
          <w:lang w:val="en-US"/>
        </w:rPr>
        <w:t xml:space="preserve">: (a) only from declarants who regularly declare goods at different offices in customs territory </w:t>
      </w:r>
      <w:r w:rsidR="00A01F20" w:rsidRPr="0059692A">
        <w:rPr>
          <w:rFonts w:ascii="Book Antiqua" w:hAnsi="Book Antiqua" w:cs="Arial"/>
          <w:lang w:val="en-US"/>
        </w:rPr>
        <w:t xml:space="preserve">and the District Collector is satisfied that the obligation to the Bureau of Customs (“Bureau”) will be fulfilled; and (b) to cover for duties and taxes due on lost or damaged goods while in transit or stored inside and off-dock or off-terminal customs facilities and </w:t>
      </w:r>
      <w:proofErr w:type="gramStart"/>
      <w:r w:rsidR="00A01F20" w:rsidRPr="0059692A">
        <w:rPr>
          <w:rFonts w:ascii="Book Antiqua" w:hAnsi="Book Antiqua" w:cs="Arial"/>
          <w:lang w:val="en-US"/>
        </w:rPr>
        <w:t>warehouses</w:t>
      </w:r>
      <w:proofErr w:type="gramEnd"/>
      <w:r w:rsidR="00A01F20" w:rsidRPr="0059692A">
        <w:rPr>
          <w:rFonts w:ascii="Book Antiqua" w:hAnsi="Book Antiqua" w:cs="Arial"/>
          <w:lang w:val="en-US"/>
        </w:rPr>
        <w:t xml:space="preserve"> </w:t>
      </w:r>
    </w:p>
    <w:p w14:paraId="176ADDD2" w14:textId="5848DFDB" w:rsidR="00D81D24" w:rsidRPr="0059692A" w:rsidRDefault="00D81D24" w:rsidP="00D77E8A">
      <w:pPr>
        <w:pStyle w:val="ListParagraph"/>
        <w:numPr>
          <w:ilvl w:val="0"/>
          <w:numId w:val="3"/>
        </w:numPr>
        <w:jc w:val="both"/>
        <w:rPr>
          <w:rFonts w:ascii="Book Antiqua" w:hAnsi="Book Antiqua" w:cs="Arial"/>
          <w:lang w:val="en-US"/>
        </w:rPr>
      </w:pPr>
      <w:r w:rsidRPr="0059692A">
        <w:rPr>
          <w:rFonts w:ascii="Book Antiqua" w:hAnsi="Book Antiqua" w:cs="Arial"/>
          <w:lang w:val="en-US"/>
        </w:rPr>
        <w:t>In cases where request for extension to re-export or pay duties taxes and other charges is allowed, the application must be received by the Bureau at least 3 working days prior to the expiration of the original period to re-export</w:t>
      </w:r>
      <w:r w:rsidR="00D77E8A" w:rsidRPr="0059692A">
        <w:rPr>
          <w:rFonts w:ascii="Book Antiqua" w:hAnsi="Book Antiqua" w:cs="Arial"/>
          <w:lang w:val="en-US"/>
        </w:rPr>
        <w:t xml:space="preserve">, with the security attached. </w:t>
      </w:r>
    </w:p>
    <w:p w14:paraId="7EC0B9B5" w14:textId="257D87EA" w:rsidR="00D77E8A" w:rsidRPr="0059692A" w:rsidRDefault="00D77E8A" w:rsidP="00D77E8A">
      <w:pPr>
        <w:pStyle w:val="ListParagraph"/>
        <w:numPr>
          <w:ilvl w:val="0"/>
          <w:numId w:val="3"/>
        </w:numPr>
        <w:jc w:val="both"/>
        <w:rPr>
          <w:rFonts w:ascii="Book Antiqua" w:hAnsi="Book Antiqua" w:cs="Arial"/>
          <w:lang w:val="en-US"/>
        </w:rPr>
      </w:pPr>
      <w:r w:rsidRPr="0059692A">
        <w:rPr>
          <w:rFonts w:ascii="Book Antiqua" w:hAnsi="Book Antiqua" w:cs="Arial"/>
          <w:lang w:val="en-US"/>
        </w:rPr>
        <w:t xml:space="preserve">The security shall be cancelled immediately once the obligations secured have been satisfied. </w:t>
      </w:r>
    </w:p>
    <w:p w14:paraId="5BD3DE51" w14:textId="099289D0" w:rsidR="007A4339" w:rsidRPr="0059692A" w:rsidRDefault="007A4339" w:rsidP="007A4339">
      <w:pPr>
        <w:jc w:val="both"/>
        <w:rPr>
          <w:rFonts w:ascii="Book Antiqua" w:hAnsi="Book Antiqua" w:cs="Arial"/>
          <w:lang w:val="en-US"/>
        </w:rPr>
      </w:pPr>
    </w:p>
    <w:p w14:paraId="55BD9F3E" w14:textId="3C42E4E6" w:rsidR="007A4339" w:rsidRPr="0059692A" w:rsidRDefault="007A4339" w:rsidP="007A4339">
      <w:pPr>
        <w:jc w:val="both"/>
        <w:rPr>
          <w:rFonts w:ascii="Book Antiqua" w:hAnsi="Book Antiqua" w:cs="Arial"/>
          <w:lang w:val="en-US"/>
        </w:rPr>
      </w:pPr>
      <w:r w:rsidRPr="0059692A">
        <w:rPr>
          <w:rFonts w:ascii="Book Antiqua" w:hAnsi="Book Antiqua" w:cs="Arial"/>
          <w:i/>
          <w:iCs/>
          <w:lang w:val="en-US"/>
        </w:rPr>
        <w:t xml:space="preserve">When Security is Required </w:t>
      </w:r>
    </w:p>
    <w:p w14:paraId="6D5425B1" w14:textId="231831E7" w:rsidR="007A4339" w:rsidRPr="0059692A" w:rsidRDefault="006053C1"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 xml:space="preserve">Release of shipment under provisional goods declaration </w:t>
      </w:r>
    </w:p>
    <w:p w14:paraId="723F1E04" w14:textId="328476B2" w:rsidR="006053C1" w:rsidRPr="0059692A" w:rsidRDefault="006053C1"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lastRenderedPageBreak/>
        <w:t xml:space="preserve">Release of goods pending ascertainment of the accuracy of the declared value and </w:t>
      </w:r>
      <w:r w:rsidR="00634E21" w:rsidRPr="0059692A">
        <w:rPr>
          <w:rFonts w:ascii="Book Antiqua" w:hAnsi="Book Antiqua" w:cs="Arial"/>
          <w:lang w:val="en-US"/>
        </w:rPr>
        <w:t>classification</w:t>
      </w:r>
      <w:r w:rsidR="00C228F2" w:rsidRPr="0059692A">
        <w:rPr>
          <w:rFonts w:ascii="Book Antiqua" w:hAnsi="Book Antiqua" w:cs="Arial"/>
          <w:lang w:val="en-US"/>
        </w:rPr>
        <w:t xml:space="preserve">. </w:t>
      </w:r>
      <w:r w:rsidR="00634E21" w:rsidRPr="0059692A">
        <w:rPr>
          <w:rFonts w:ascii="Book Antiqua" w:hAnsi="Book Antiqua" w:cs="Arial"/>
          <w:lang w:val="en-US"/>
        </w:rPr>
        <w:t xml:space="preserve">However, prohibited goods shall not be released under any circumstance. </w:t>
      </w:r>
    </w:p>
    <w:p w14:paraId="44619319" w14:textId="763BA1B5" w:rsidR="007A277E" w:rsidRPr="0059692A" w:rsidRDefault="007A277E"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Release of express shipments of accredited air express cargo</w:t>
      </w:r>
    </w:p>
    <w:p w14:paraId="25181F0F" w14:textId="6DAE1E2F" w:rsidR="007A277E" w:rsidRPr="0059692A" w:rsidRDefault="0060439E"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 xml:space="preserve">Goods declared in the entry for warehousing in customs bonded </w:t>
      </w:r>
      <w:proofErr w:type="gramStart"/>
      <w:r w:rsidRPr="0059692A">
        <w:rPr>
          <w:rFonts w:ascii="Book Antiqua" w:hAnsi="Book Antiqua" w:cs="Arial"/>
          <w:lang w:val="en-US"/>
        </w:rPr>
        <w:t>warehouses</w:t>
      </w:r>
      <w:proofErr w:type="gramEnd"/>
      <w:r w:rsidRPr="0059692A">
        <w:rPr>
          <w:rFonts w:ascii="Book Antiqua" w:hAnsi="Book Antiqua" w:cs="Arial"/>
          <w:lang w:val="en-US"/>
        </w:rPr>
        <w:t xml:space="preserve"> </w:t>
      </w:r>
    </w:p>
    <w:p w14:paraId="2D350B4D" w14:textId="7B3E182D" w:rsidR="007A277E" w:rsidRPr="0059692A" w:rsidRDefault="0060439E"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Imported goods transported by carriers placed under custom transit from a port of entry to other ports, including Free Zones</w:t>
      </w:r>
      <w:r w:rsidR="00153A67" w:rsidRPr="0059692A">
        <w:rPr>
          <w:rFonts w:ascii="Book Antiqua" w:hAnsi="Book Antiqua" w:cs="Arial"/>
          <w:lang w:val="en-US"/>
        </w:rPr>
        <w:t xml:space="preserve"> (special economic zones registered with the Philippine Economic Zone Authority)</w:t>
      </w:r>
    </w:p>
    <w:p w14:paraId="167A84EA" w14:textId="1C55E625" w:rsidR="000E7904" w:rsidRPr="0059692A" w:rsidRDefault="000E7904"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 xml:space="preserve">Transit of Goods under Co-loading Act </w:t>
      </w:r>
    </w:p>
    <w:p w14:paraId="266ADB01" w14:textId="3BDB37CB" w:rsidR="000E7904" w:rsidRPr="0059692A" w:rsidRDefault="000E7904"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 xml:space="preserve">Release of conditionally tax and/or duty-free importations </w:t>
      </w:r>
    </w:p>
    <w:p w14:paraId="20E4FBA4" w14:textId="207A574E" w:rsidR="000E7904" w:rsidRPr="0059692A" w:rsidRDefault="000D6545"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 xml:space="preserve">Conditional release of shipments of returning residents or returning Overseas Filipino Workers arriving in </w:t>
      </w:r>
      <w:proofErr w:type="gramStart"/>
      <w:r w:rsidRPr="0059692A">
        <w:rPr>
          <w:rFonts w:ascii="Book Antiqua" w:hAnsi="Book Antiqua" w:cs="Arial"/>
          <w:lang w:val="en-US"/>
        </w:rPr>
        <w:t>advance</w:t>
      </w:r>
      <w:proofErr w:type="gramEnd"/>
      <w:r w:rsidRPr="0059692A">
        <w:rPr>
          <w:rFonts w:ascii="Book Antiqua" w:hAnsi="Book Antiqua" w:cs="Arial"/>
          <w:lang w:val="en-US"/>
        </w:rPr>
        <w:t xml:space="preserve"> </w:t>
      </w:r>
    </w:p>
    <w:p w14:paraId="1074063C" w14:textId="722A31EF" w:rsidR="00D14FE1" w:rsidRPr="0059692A" w:rsidRDefault="00D14FE1" w:rsidP="006053C1">
      <w:pPr>
        <w:pStyle w:val="ListParagraph"/>
        <w:numPr>
          <w:ilvl w:val="0"/>
          <w:numId w:val="5"/>
        </w:numPr>
        <w:jc w:val="both"/>
        <w:rPr>
          <w:rFonts w:ascii="Book Antiqua" w:hAnsi="Book Antiqua" w:cs="Arial"/>
          <w:lang w:val="en-US"/>
        </w:rPr>
      </w:pPr>
      <w:r w:rsidRPr="0059692A">
        <w:rPr>
          <w:rFonts w:ascii="Book Antiqua" w:hAnsi="Book Antiqua" w:cs="Arial"/>
          <w:lang w:val="en-US"/>
        </w:rPr>
        <w:t xml:space="preserve">Release of traveler’s accompanied baggage with dutiable goods </w:t>
      </w:r>
      <w:r w:rsidR="000C14C4" w:rsidRPr="0059692A">
        <w:rPr>
          <w:rFonts w:ascii="Book Antiqua" w:hAnsi="Book Antiqua" w:cs="Arial"/>
          <w:lang w:val="en-US"/>
        </w:rPr>
        <w:t>which are intended for re-</w:t>
      </w:r>
      <w:proofErr w:type="gramStart"/>
      <w:r w:rsidR="000C14C4" w:rsidRPr="0059692A">
        <w:rPr>
          <w:rFonts w:ascii="Book Antiqua" w:hAnsi="Book Antiqua" w:cs="Arial"/>
          <w:lang w:val="en-US"/>
        </w:rPr>
        <w:t>exportation</w:t>
      </w:r>
      <w:proofErr w:type="gramEnd"/>
      <w:r w:rsidR="000C14C4" w:rsidRPr="0059692A">
        <w:rPr>
          <w:rFonts w:ascii="Book Antiqua" w:hAnsi="Book Antiqua" w:cs="Arial"/>
          <w:lang w:val="en-US"/>
        </w:rPr>
        <w:t xml:space="preserve"> </w:t>
      </w:r>
    </w:p>
    <w:p w14:paraId="57CA7F61" w14:textId="5A26B33B" w:rsidR="000C14C4" w:rsidRPr="0059692A" w:rsidRDefault="000C14C4" w:rsidP="00735B45">
      <w:pPr>
        <w:jc w:val="both"/>
        <w:rPr>
          <w:rFonts w:ascii="Book Antiqua" w:hAnsi="Book Antiqua" w:cs="Arial"/>
          <w:lang w:val="en-US"/>
        </w:rPr>
      </w:pPr>
    </w:p>
    <w:p w14:paraId="19B6D652" w14:textId="6AF12646" w:rsidR="00765D47" w:rsidRPr="0059692A" w:rsidRDefault="00765D47" w:rsidP="00735B45">
      <w:pPr>
        <w:jc w:val="both"/>
        <w:rPr>
          <w:rFonts w:ascii="Book Antiqua" w:hAnsi="Book Antiqua" w:cs="Arial"/>
          <w:lang w:val="en-US"/>
        </w:rPr>
      </w:pPr>
    </w:p>
    <w:p w14:paraId="6F1AC1B4" w14:textId="77777777" w:rsidR="006C65AE" w:rsidRPr="0059692A" w:rsidRDefault="00765D47" w:rsidP="00735B45">
      <w:pPr>
        <w:jc w:val="both"/>
        <w:rPr>
          <w:rFonts w:ascii="Book Antiqua" w:hAnsi="Book Antiqua" w:cs="Arial"/>
          <w:i/>
          <w:iCs/>
          <w:lang w:val="en-US"/>
        </w:rPr>
      </w:pPr>
      <w:r w:rsidRPr="0059692A">
        <w:rPr>
          <w:rFonts w:ascii="Book Antiqua" w:hAnsi="Book Antiqua" w:cs="Arial"/>
          <w:i/>
          <w:iCs/>
          <w:lang w:val="en-US"/>
        </w:rPr>
        <w:t xml:space="preserve">Treatment of Securities: (a) Cash; (b) Standby Letter of Credit or Irrevocable Letter of Credit; and (c) Bonds </w:t>
      </w:r>
    </w:p>
    <w:tbl>
      <w:tblPr>
        <w:tblStyle w:val="TableGrid"/>
        <w:tblW w:w="0" w:type="auto"/>
        <w:tblLook w:val="04A0" w:firstRow="1" w:lastRow="0" w:firstColumn="1" w:lastColumn="0" w:noHBand="0" w:noVBand="1"/>
      </w:tblPr>
      <w:tblGrid>
        <w:gridCol w:w="2405"/>
        <w:gridCol w:w="3828"/>
        <w:gridCol w:w="3117"/>
      </w:tblGrid>
      <w:tr w:rsidR="006C65AE" w:rsidRPr="0059692A" w14:paraId="472A5359" w14:textId="77777777" w:rsidTr="000C5F7A">
        <w:tc>
          <w:tcPr>
            <w:tcW w:w="2405" w:type="dxa"/>
          </w:tcPr>
          <w:p w14:paraId="2243910F" w14:textId="1A37FDDC" w:rsidR="006C65AE" w:rsidRPr="0059692A" w:rsidRDefault="006C65AE" w:rsidP="006C65AE">
            <w:pPr>
              <w:jc w:val="center"/>
              <w:rPr>
                <w:rFonts w:ascii="Book Antiqua" w:hAnsi="Book Antiqua" w:cs="Arial"/>
                <w:b/>
                <w:bCs/>
                <w:i/>
                <w:iCs/>
                <w:lang w:val="en-US"/>
              </w:rPr>
            </w:pPr>
          </w:p>
        </w:tc>
        <w:tc>
          <w:tcPr>
            <w:tcW w:w="6945" w:type="dxa"/>
            <w:gridSpan w:val="2"/>
          </w:tcPr>
          <w:p w14:paraId="24F0DBBB" w14:textId="6DF6CAB8" w:rsidR="006C65AE" w:rsidRPr="0059692A" w:rsidRDefault="006C65AE" w:rsidP="006C65AE">
            <w:pPr>
              <w:jc w:val="center"/>
              <w:rPr>
                <w:rFonts w:ascii="Book Antiqua" w:hAnsi="Book Antiqua" w:cs="Arial"/>
                <w:b/>
                <w:bCs/>
                <w:i/>
                <w:iCs/>
                <w:lang w:val="en-US"/>
              </w:rPr>
            </w:pPr>
          </w:p>
        </w:tc>
      </w:tr>
      <w:tr w:rsidR="006C65AE" w:rsidRPr="0059692A" w14:paraId="1E567F4C" w14:textId="77777777" w:rsidTr="000C5F7A">
        <w:tc>
          <w:tcPr>
            <w:tcW w:w="2405" w:type="dxa"/>
          </w:tcPr>
          <w:p w14:paraId="3DCC62EF" w14:textId="71129046" w:rsidR="006C65AE" w:rsidRPr="0059692A" w:rsidRDefault="00320451" w:rsidP="00735B45">
            <w:pPr>
              <w:jc w:val="both"/>
              <w:rPr>
                <w:rFonts w:ascii="Book Antiqua" w:hAnsi="Book Antiqua" w:cs="Arial"/>
                <w:b/>
                <w:bCs/>
                <w:i/>
                <w:iCs/>
                <w:lang w:val="en-US"/>
              </w:rPr>
            </w:pPr>
            <w:r w:rsidRPr="0059692A">
              <w:rPr>
                <w:rFonts w:ascii="Book Antiqua" w:hAnsi="Book Antiqua" w:cs="Arial"/>
                <w:b/>
                <w:bCs/>
                <w:i/>
                <w:iCs/>
                <w:lang w:val="en-US"/>
              </w:rPr>
              <w:t>Security</w:t>
            </w:r>
          </w:p>
        </w:tc>
        <w:tc>
          <w:tcPr>
            <w:tcW w:w="3828" w:type="dxa"/>
          </w:tcPr>
          <w:p w14:paraId="64FC505A" w14:textId="0BFAD8F5" w:rsidR="006C65AE" w:rsidRPr="0059692A" w:rsidRDefault="00320451" w:rsidP="00124B28">
            <w:pPr>
              <w:jc w:val="center"/>
              <w:rPr>
                <w:rFonts w:ascii="Book Antiqua" w:hAnsi="Book Antiqua" w:cs="Arial"/>
                <w:b/>
                <w:bCs/>
                <w:i/>
                <w:iCs/>
                <w:lang w:val="en-US"/>
              </w:rPr>
            </w:pPr>
            <w:r w:rsidRPr="0059692A">
              <w:rPr>
                <w:rFonts w:ascii="Book Antiqua" w:hAnsi="Book Antiqua" w:cs="Arial"/>
                <w:b/>
                <w:bCs/>
                <w:i/>
                <w:iCs/>
                <w:lang w:val="en-US"/>
              </w:rPr>
              <w:t xml:space="preserve">(a) assessment in favor of government; (b) failure of the importer to comply with the conditions of the security; or (c) final decision arising from a dispute settlement </w:t>
            </w:r>
            <w:r w:rsidR="00D1076A" w:rsidRPr="0059692A">
              <w:rPr>
                <w:rFonts w:ascii="Book Antiqua" w:hAnsi="Book Antiqua" w:cs="Arial"/>
                <w:b/>
                <w:bCs/>
                <w:i/>
                <w:iCs/>
                <w:lang w:val="en-US"/>
              </w:rPr>
              <w:t>i</w:t>
            </w:r>
            <w:r w:rsidR="006C65AE" w:rsidRPr="0059692A">
              <w:rPr>
                <w:rFonts w:ascii="Book Antiqua" w:hAnsi="Book Antiqua" w:cs="Arial"/>
                <w:b/>
                <w:bCs/>
                <w:i/>
                <w:iCs/>
                <w:lang w:val="en-US"/>
              </w:rPr>
              <w:t>n favor of Governme</w:t>
            </w:r>
            <w:r w:rsidR="00D1076A" w:rsidRPr="0059692A">
              <w:rPr>
                <w:rFonts w:ascii="Book Antiqua" w:hAnsi="Book Antiqua" w:cs="Arial"/>
                <w:b/>
                <w:bCs/>
                <w:i/>
                <w:iCs/>
                <w:lang w:val="en-US"/>
              </w:rPr>
              <w:t>nt</w:t>
            </w:r>
          </w:p>
        </w:tc>
        <w:tc>
          <w:tcPr>
            <w:tcW w:w="3117" w:type="dxa"/>
          </w:tcPr>
          <w:p w14:paraId="3EA36B41" w14:textId="59505069" w:rsidR="006C65AE" w:rsidRPr="0059692A" w:rsidRDefault="00D1076A" w:rsidP="00124B28">
            <w:pPr>
              <w:jc w:val="center"/>
              <w:rPr>
                <w:rFonts w:ascii="Book Antiqua" w:hAnsi="Book Antiqua" w:cs="Arial"/>
                <w:b/>
                <w:bCs/>
                <w:i/>
                <w:iCs/>
                <w:lang w:val="en-US"/>
              </w:rPr>
            </w:pPr>
            <w:r w:rsidRPr="0059692A">
              <w:rPr>
                <w:rFonts w:ascii="Book Antiqua" w:hAnsi="Book Antiqua" w:cs="Arial"/>
                <w:b/>
                <w:bCs/>
                <w:i/>
                <w:iCs/>
                <w:lang w:val="en-US"/>
              </w:rPr>
              <w:t>(a) assessment in favor of importer; (b</w:t>
            </w:r>
            <w:r w:rsidR="00610BB8" w:rsidRPr="0059692A">
              <w:rPr>
                <w:rFonts w:ascii="Book Antiqua" w:hAnsi="Book Antiqua" w:cs="Arial"/>
                <w:b/>
                <w:bCs/>
                <w:i/>
                <w:iCs/>
                <w:lang w:val="en-US"/>
              </w:rPr>
              <w:t>) satisfaction of the conditions of bond</w:t>
            </w:r>
            <w:r w:rsidRPr="0059692A">
              <w:rPr>
                <w:rFonts w:ascii="Book Antiqua" w:hAnsi="Book Antiqua" w:cs="Arial"/>
                <w:b/>
                <w:bCs/>
                <w:i/>
                <w:iCs/>
                <w:lang w:val="en-US"/>
              </w:rPr>
              <w:t xml:space="preserve">; or (c) final decision arising from a dispute settlement in favor of </w:t>
            </w:r>
            <w:r w:rsidR="0075700C" w:rsidRPr="0059692A">
              <w:rPr>
                <w:rFonts w:ascii="Book Antiqua" w:hAnsi="Book Antiqua" w:cs="Arial"/>
                <w:b/>
                <w:bCs/>
                <w:i/>
                <w:iCs/>
                <w:lang w:val="en-US"/>
              </w:rPr>
              <w:t>importer</w:t>
            </w:r>
          </w:p>
        </w:tc>
      </w:tr>
      <w:tr w:rsidR="006C65AE" w:rsidRPr="0059692A" w14:paraId="291CBA63" w14:textId="77777777" w:rsidTr="000C5F7A">
        <w:tc>
          <w:tcPr>
            <w:tcW w:w="2405" w:type="dxa"/>
          </w:tcPr>
          <w:p w14:paraId="15516A7D" w14:textId="6475D678" w:rsidR="006C65AE" w:rsidRPr="0059692A" w:rsidRDefault="006C65AE" w:rsidP="00735B45">
            <w:pPr>
              <w:jc w:val="both"/>
              <w:rPr>
                <w:rFonts w:ascii="Book Antiqua" w:hAnsi="Book Antiqua" w:cs="Arial"/>
                <w:b/>
                <w:bCs/>
                <w:i/>
                <w:iCs/>
                <w:lang w:val="en-US"/>
              </w:rPr>
            </w:pPr>
            <w:r w:rsidRPr="0059692A">
              <w:rPr>
                <w:rFonts w:ascii="Book Antiqua" w:hAnsi="Book Antiqua" w:cs="Arial"/>
                <w:b/>
                <w:bCs/>
                <w:i/>
                <w:iCs/>
                <w:lang w:val="en-US"/>
              </w:rPr>
              <w:t>Cash</w:t>
            </w:r>
          </w:p>
          <w:p w14:paraId="17B1A412" w14:textId="77777777" w:rsidR="000C5F7A" w:rsidRPr="0059692A" w:rsidRDefault="000C5F7A" w:rsidP="00735B45">
            <w:pPr>
              <w:jc w:val="both"/>
              <w:rPr>
                <w:rFonts w:ascii="Book Antiqua" w:hAnsi="Book Antiqua" w:cs="Arial"/>
                <w:lang w:val="en-US"/>
              </w:rPr>
            </w:pPr>
          </w:p>
          <w:p w14:paraId="67C1139A" w14:textId="4E772276" w:rsidR="008822A7" w:rsidRPr="0059692A" w:rsidRDefault="008822A7" w:rsidP="00735B45">
            <w:pPr>
              <w:jc w:val="both"/>
              <w:rPr>
                <w:rFonts w:ascii="Book Antiqua" w:hAnsi="Book Antiqua" w:cs="Arial"/>
                <w:lang w:val="en-US"/>
              </w:rPr>
            </w:pPr>
            <w:r w:rsidRPr="0059692A">
              <w:rPr>
                <w:rFonts w:ascii="Book Antiqua" w:hAnsi="Book Antiqua" w:cs="Arial"/>
                <w:lang w:val="en-US"/>
              </w:rPr>
              <w:t xml:space="preserve">- </w:t>
            </w:r>
            <w:r w:rsidRPr="0059692A">
              <w:rPr>
                <w:rFonts w:ascii="Book Antiqua" w:hAnsi="Book Antiqua" w:cs="Arial"/>
                <w:i/>
                <w:iCs/>
                <w:lang w:val="en-US"/>
              </w:rPr>
              <w:t>shall be deposited immediately not later than the day following the date when received in a Trust Fund Account to be managed by the Bureau</w:t>
            </w:r>
            <w:r w:rsidRPr="0059692A">
              <w:rPr>
                <w:rFonts w:ascii="Book Antiqua" w:hAnsi="Book Antiqua" w:cs="Arial"/>
                <w:lang w:val="en-US"/>
              </w:rPr>
              <w:t xml:space="preserve"> </w:t>
            </w:r>
          </w:p>
        </w:tc>
        <w:tc>
          <w:tcPr>
            <w:tcW w:w="3828" w:type="dxa"/>
          </w:tcPr>
          <w:p w14:paraId="1BB95D30" w14:textId="77777777" w:rsidR="006C65AE" w:rsidRPr="0059692A" w:rsidRDefault="006C65AE" w:rsidP="006C65AE">
            <w:pPr>
              <w:jc w:val="both"/>
              <w:rPr>
                <w:rFonts w:ascii="Book Antiqua" w:hAnsi="Book Antiqua" w:cs="Arial"/>
                <w:lang w:val="en-US"/>
              </w:rPr>
            </w:pPr>
            <w:r w:rsidRPr="0059692A">
              <w:rPr>
                <w:rFonts w:ascii="Book Antiqua" w:hAnsi="Book Antiqua" w:cs="Arial"/>
                <w:lang w:val="en-US"/>
              </w:rPr>
              <w:t xml:space="preserve">1.  The taxes due shall be forfeited to the General Fund. </w:t>
            </w:r>
          </w:p>
          <w:p w14:paraId="6ACD29A1" w14:textId="77777777" w:rsidR="006C65AE" w:rsidRPr="0059692A" w:rsidRDefault="006C65AE" w:rsidP="006C65AE">
            <w:pPr>
              <w:jc w:val="both"/>
              <w:rPr>
                <w:rFonts w:ascii="Book Antiqua" w:hAnsi="Book Antiqua" w:cs="Arial"/>
                <w:lang w:val="en-US"/>
              </w:rPr>
            </w:pPr>
          </w:p>
          <w:p w14:paraId="15E24BEC" w14:textId="0678535A" w:rsidR="006C65AE" w:rsidRPr="0059692A" w:rsidRDefault="006C65AE" w:rsidP="006C65AE">
            <w:pPr>
              <w:jc w:val="both"/>
              <w:rPr>
                <w:rFonts w:ascii="Book Antiqua" w:hAnsi="Book Antiqua" w:cs="Arial"/>
                <w:lang w:val="en-US"/>
              </w:rPr>
            </w:pPr>
            <w:r w:rsidRPr="0059692A">
              <w:rPr>
                <w:rFonts w:ascii="Book Antiqua" w:hAnsi="Book Antiqua" w:cs="Arial"/>
                <w:lang w:val="en-US"/>
              </w:rPr>
              <w:t xml:space="preserve">2. If there is any excess, it shall </w:t>
            </w:r>
            <w:r w:rsidR="001148CB" w:rsidRPr="0059692A">
              <w:rPr>
                <w:rFonts w:ascii="Book Antiqua" w:hAnsi="Book Antiqua" w:cs="Arial"/>
                <w:lang w:val="en-US"/>
              </w:rPr>
              <w:t>be</w:t>
            </w:r>
            <w:r w:rsidRPr="0059692A">
              <w:rPr>
                <w:rFonts w:ascii="Book Antiqua" w:hAnsi="Book Antiqua" w:cs="Arial"/>
                <w:lang w:val="en-US"/>
              </w:rPr>
              <w:t xml:space="preserve"> released to the imported in the form of a cheque issued by the Bureau</w:t>
            </w:r>
          </w:p>
          <w:p w14:paraId="525C61F4" w14:textId="77777777" w:rsidR="006C65AE" w:rsidRPr="0059692A" w:rsidRDefault="006C65AE" w:rsidP="006C65AE">
            <w:pPr>
              <w:jc w:val="both"/>
              <w:rPr>
                <w:rFonts w:ascii="Book Antiqua" w:hAnsi="Book Antiqua" w:cs="Arial"/>
                <w:lang w:val="en-US"/>
              </w:rPr>
            </w:pPr>
          </w:p>
          <w:p w14:paraId="4F473568" w14:textId="77777777" w:rsidR="006C65AE" w:rsidRPr="0059692A" w:rsidRDefault="006C65AE" w:rsidP="00735B45">
            <w:pPr>
              <w:jc w:val="both"/>
              <w:rPr>
                <w:rFonts w:ascii="Book Antiqua" w:hAnsi="Book Antiqua" w:cs="Arial"/>
                <w:lang w:val="en-US"/>
              </w:rPr>
            </w:pPr>
            <w:r w:rsidRPr="0059692A">
              <w:rPr>
                <w:rFonts w:ascii="Book Antiqua" w:hAnsi="Book Antiqua" w:cs="Arial"/>
                <w:lang w:val="en-US"/>
              </w:rPr>
              <w:t xml:space="preserve">3. If the bond is less than the amount due, a demand letter shall be issued for the balance. </w:t>
            </w:r>
          </w:p>
          <w:p w14:paraId="091F13E3" w14:textId="77777777" w:rsidR="0075700C" w:rsidRPr="0059692A" w:rsidRDefault="0075700C" w:rsidP="00735B45">
            <w:pPr>
              <w:jc w:val="both"/>
              <w:rPr>
                <w:rFonts w:ascii="Book Antiqua" w:hAnsi="Book Antiqua" w:cs="Arial"/>
                <w:lang w:val="en-US"/>
              </w:rPr>
            </w:pPr>
          </w:p>
          <w:p w14:paraId="084A938E" w14:textId="77777777" w:rsidR="0075700C" w:rsidRPr="0059692A" w:rsidRDefault="0075700C" w:rsidP="0075700C">
            <w:pPr>
              <w:jc w:val="both"/>
              <w:rPr>
                <w:rFonts w:ascii="Book Antiqua" w:hAnsi="Book Antiqua" w:cs="Arial"/>
                <w:i/>
                <w:iCs/>
                <w:lang w:val="en-US"/>
              </w:rPr>
            </w:pPr>
          </w:p>
          <w:p w14:paraId="7519EA49" w14:textId="300B68E2" w:rsidR="0075700C" w:rsidRPr="0059692A" w:rsidRDefault="0075700C" w:rsidP="0075700C">
            <w:pPr>
              <w:jc w:val="both"/>
              <w:rPr>
                <w:rFonts w:ascii="Book Antiqua" w:hAnsi="Book Antiqua" w:cs="Arial"/>
                <w:lang w:val="en-US"/>
              </w:rPr>
            </w:pPr>
            <w:r w:rsidRPr="0059692A">
              <w:rPr>
                <w:rFonts w:ascii="Book Antiqua" w:hAnsi="Book Antiqua" w:cs="Arial"/>
                <w:lang w:val="en-US"/>
              </w:rPr>
              <w:t xml:space="preserve">The District Collector shall recommend to the Commission through the Legal Service a court </w:t>
            </w:r>
            <w:r w:rsidRPr="0059692A">
              <w:rPr>
                <w:rFonts w:ascii="Book Antiqua" w:hAnsi="Book Antiqua" w:cs="Arial"/>
                <w:lang w:val="en-US"/>
              </w:rPr>
              <w:lastRenderedPageBreak/>
              <w:t>of action to ensure payment of obligation.</w:t>
            </w:r>
          </w:p>
        </w:tc>
        <w:tc>
          <w:tcPr>
            <w:tcW w:w="3117" w:type="dxa"/>
          </w:tcPr>
          <w:p w14:paraId="4C0509E3" w14:textId="77777777" w:rsidR="006C65AE" w:rsidRPr="0059692A" w:rsidRDefault="006C65AE" w:rsidP="00735B45">
            <w:pPr>
              <w:jc w:val="both"/>
              <w:rPr>
                <w:rFonts w:ascii="Book Antiqua" w:hAnsi="Book Antiqua" w:cs="Arial"/>
                <w:lang w:val="en-US"/>
              </w:rPr>
            </w:pPr>
            <w:r w:rsidRPr="0059692A">
              <w:rPr>
                <w:rFonts w:ascii="Book Antiqua" w:hAnsi="Book Antiqua" w:cs="Arial"/>
                <w:lang w:val="en-US"/>
              </w:rPr>
              <w:lastRenderedPageBreak/>
              <w:t>The amount shall be released to the importer in the form of a check issued by the Bureau.</w:t>
            </w:r>
          </w:p>
          <w:p w14:paraId="7E3DEF92" w14:textId="564B1BA1" w:rsidR="00487936" w:rsidRPr="0059692A" w:rsidRDefault="00487936" w:rsidP="00735B45">
            <w:pPr>
              <w:jc w:val="both"/>
              <w:rPr>
                <w:rFonts w:ascii="Book Antiqua" w:hAnsi="Book Antiqua" w:cs="Arial"/>
                <w:i/>
                <w:iCs/>
                <w:lang w:val="en-US"/>
              </w:rPr>
            </w:pPr>
          </w:p>
        </w:tc>
      </w:tr>
      <w:tr w:rsidR="006C65AE" w:rsidRPr="0059692A" w14:paraId="2539D4E4" w14:textId="77777777" w:rsidTr="000C5F7A">
        <w:trPr>
          <w:trHeight w:val="77"/>
        </w:trPr>
        <w:tc>
          <w:tcPr>
            <w:tcW w:w="2405" w:type="dxa"/>
          </w:tcPr>
          <w:p w14:paraId="3DC7C10E" w14:textId="77777777" w:rsidR="008822A7" w:rsidRPr="0059692A" w:rsidRDefault="006C65AE" w:rsidP="008822A7">
            <w:pPr>
              <w:jc w:val="both"/>
              <w:rPr>
                <w:rFonts w:ascii="Book Antiqua" w:hAnsi="Book Antiqua" w:cs="Arial"/>
                <w:b/>
                <w:bCs/>
                <w:i/>
                <w:iCs/>
                <w:lang w:val="en-US"/>
              </w:rPr>
            </w:pPr>
            <w:r w:rsidRPr="0059692A">
              <w:rPr>
                <w:rFonts w:ascii="Book Antiqua" w:hAnsi="Book Antiqua" w:cs="Arial"/>
                <w:b/>
                <w:bCs/>
                <w:i/>
                <w:iCs/>
                <w:lang w:val="en-US"/>
              </w:rPr>
              <w:t>Standby Letter of Credit or Irrevocable Letter of Credit</w:t>
            </w:r>
          </w:p>
          <w:p w14:paraId="50527E48" w14:textId="77777777" w:rsidR="008822A7" w:rsidRPr="0059692A" w:rsidRDefault="008822A7" w:rsidP="008822A7">
            <w:pPr>
              <w:pStyle w:val="ListParagraph"/>
              <w:jc w:val="both"/>
              <w:rPr>
                <w:rFonts w:ascii="Book Antiqua" w:hAnsi="Book Antiqua" w:cs="Arial"/>
                <w:lang w:val="en-US"/>
              </w:rPr>
            </w:pPr>
          </w:p>
          <w:p w14:paraId="775E428D" w14:textId="74225723" w:rsidR="008822A7" w:rsidRPr="0059692A" w:rsidRDefault="008822A7" w:rsidP="008822A7">
            <w:pPr>
              <w:jc w:val="both"/>
              <w:rPr>
                <w:rFonts w:ascii="Book Antiqua" w:hAnsi="Book Antiqua" w:cs="Arial"/>
                <w:i/>
                <w:iCs/>
                <w:lang w:val="en-US"/>
              </w:rPr>
            </w:pPr>
            <w:r w:rsidRPr="0059692A">
              <w:rPr>
                <w:rFonts w:ascii="Book Antiqua" w:hAnsi="Book Antiqua" w:cs="Arial"/>
                <w:i/>
                <w:iCs/>
                <w:lang w:val="en-US"/>
              </w:rPr>
              <w:t xml:space="preserve">- May only be issued </w:t>
            </w:r>
            <w:r w:rsidR="000C5F7A" w:rsidRPr="0059692A">
              <w:rPr>
                <w:rFonts w:ascii="Book Antiqua" w:hAnsi="Book Antiqua" w:cs="Arial"/>
                <w:i/>
                <w:iCs/>
                <w:lang w:val="en-US"/>
              </w:rPr>
              <w:t>by Authorized</w:t>
            </w:r>
            <w:r w:rsidRPr="0059692A">
              <w:rPr>
                <w:rFonts w:ascii="Book Antiqua" w:hAnsi="Book Antiqua" w:cs="Arial"/>
                <w:i/>
                <w:iCs/>
                <w:lang w:val="en-US"/>
              </w:rPr>
              <w:t xml:space="preserve"> Agent Banks </w:t>
            </w:r>
          </w:p>
        </w:tc>
        <w:tc>
          <w:tcPr>
            <w:tcW w:w="3828" w:type="dxa"/>
          </w:tcPr>
          <w:p w14:paraId="762C010C" w14:textId="1B7D6A02" w:rsidR="006C65AE" w:rsidRPr="0059692A" w:rsidRDefault="006C65AE" w:rsidP="00735B45">
            <w:pPr>
              <w:jc w:val="both"/>
              <w:rPr>
                <w:rFonts w:ascii="Book Antiqua" w:hAnsi="Book Antiqua" w:cs="Arial"/>
                <w:lang w:val="en-US"/>
              </w:rPr>
            </w:pPr>
            <w:r w:rsidRPr="0059692A">
              <w:rPr>
                <w:rFonts w:ascii="Book Antiqua" w:hAnsi="Book Antiqua" w:cs="Arial"/>
                <w:lang w:val="en-US"/>
              </w:rPr>
              <w:t xml:space="preserve">The amount stated in the Standby Letter of Credit or Irrevocable Letter of Credit shall be immediately settled by the bank upon notice of the District Collector, without need of demand against importer. </w:t>
            </w:r>
          </w:p>
        </w:tc>
        <w:tc>
          <w:tcPr>
            <w:tcW w:w="3117" w:type="dxa"/>
          </w:tcPr>
          <w:p w14:paraId="113123DF" w14:textId="55FB15C1" w:rsidR="006C65AE" w:rsidRPr="0059692A" w:rsidRDefault="008822A7" w:rsidP="00735B45">
            <w:pPr>
              <w:jc w:val="both"/>
              <w:rPr>
                <w:rFonts w:ascii="Book Antiqua" w:hAnsi="Book Antiqua" w:cs="Arial"/>
                <w:i/>
                <w:iCs/>
                <w:lang w:val="en-US"/>
              </w:rPr>
            </w:pPr>
            <w:r w:rsidRPr="0059692A">
              <w:rPr>
                <w:rFonts w:ascii="Book Antiqua" w:hAnsi="Book Antiqua" w:cs="Arial"/>
                <w:lang w:val="en-US"/>
              </w:rPr>
              <w:t>T</w:t>
            </w:r>
            <w:r w:rsidR="006C65AE" w:rsidRPr="0059692A">
              <w:rPr>
                <w:rFonts w:ascii="Book Antiqua" w:hAnsi="Book Antiqua" w:cs="Arial"/>
                <w:lang w:val="en-US"/>
              </w:rPr>
              <w:t xml:space="preserve">he Standby Letter of </w:t>
            </w:r>
            <w:r w:rsidR="000C5F7A" w:rsidRPr="0059692A">
              <w:rPr>
                <w:rFonts w:ascii="Book Antiqua" w:hAnsi="Book Antiqua" w:cs="Arial"/>
                <w:lang w:val="en-US"/>
              </w:rPr>
              <w:t>Credit</w:t>
            </w:r>
            <w:r w:rsidR="006C65AE" w:rsidRPr="0059692A">
              <w:rPr>
                <w:rFonts w:ascii="Book Antiqua" w:hAnsi="Book Antiqua" w:cs="Arial"/>
                <w:lang w:val="en-US"/>
              </w:rPr>
              <w:t xml:space="preserve"> or Irrevocable Letter of Credit shall be cancelled.</w:t>
            </w:r>
          </w:p>
        </w:tc>
      </w:tr>
      <w:tr w:rsidR="006C65AE" w:rsidRPr="0059692A" w14:paraId="3A8A29CC" w14:textId="77777777" w:rsidTr="000C5F7A">
        <w:tc>
          <w:tcPr>
            <w:tcW w:w="2405" w:type="dxa"/>
          </w:tcPr>
          <w:p w14:paraId="6592F9BE" w14:textId="77777777" w:rsidR="006C65AE" w:rsidRPr="0059692A" w:rsidRDefault="006C65AE" w:rsidP="006C65AE">
            <w:pPr>
              <w:rPr>
                <w:rFonts w:ascii="Book Antiqua" w:hAnsi="Book Antiqua" w:cs="Arial"/>
                <w:b/>
                <w:bCs/>
                <w:i/>
                <w:iCs/>
                <w:lang w:val="en-US"/>
              </w:rPr>
            </w:pPr>
            <w:r w:rsidRPr="0059692A">
              <w:rPr>
                <w:rFonts w:ascii="Book Antiqua" w:hAnsi="Book Antiqua" w:cs="Arial"/>
                <w:b/>
                <w:bCs/>
                <w:i/>
                <w:iCs/>
                <w:lang w:val="en-US"/>
              </w:rPr>
              <w:t xml:space="preserve">Bond </w:t>
            </w:r>
          </w:p>
          <w:p w14:paraId="694DB79B" w14:textId="77777777" w:rsidR="008822A7" w:rsidRPr="0059692A" w:rsidRDefault="008822A7" w:rsidP="008822A7">
            <w:pPr>
              <w:rPr>
                <w:rFonts w:ascii="Book Antiqua" w:hAnsi="Book Antiqua" w:cs="Arial"/>
                <w:i/>
                <w:iCs/>
                <w:lang w:val="en-US"/>
              </w:rPr>
            </w:pPr>
          </w:p>
          <w:p w14:paraId="36A8EF1E" w14:textId="7383DC96" w:rsidR="008822A7" w:rsidRPr="0059692A" w:rsidRDefault="008822A7" w:rsidP="008822A7">
            <w:pPr>
              <w:rPr>
                <w:rFonts w:ascii="Book Antiqua" w:hAnsi="Book Antiqua" w:cs="Arial"/>
                <w:lang w:val="en-US"/>
              </w:rPr>
            </w:pPr>
            <w:r w:rsidRPr="0059692A">
              <w:rPr>
                <w:rFonts w:ascii="Book Antiqua" w:hAnsi="Book Antiqua" w:cs="Arial"/>
                <w:i/>
                <w:iCs/>
                <w:lang w:val="en-US"/>
              </w:rPr>
              <w:t xml:space="preserve">- May only be issued by </w:t>
            </w:r>
            <w:r w:rsidR="00B24E27" w:rsidRPr="0059692A">
              <w:rPr>
                <w:rFonts w:ascii="Book Antiqua" w:hAnsi="Book Antiqua" w:cs="Arial"/>
                <w:i/>
                <w:iCs/>
                <w:lang w:val="en-US"/>
              </w:rPr>
              <w:t>s</w:t>
            </w:r>
            <w:r w:rsidRPr="0059692A">
              <w:rPr>
                <w:rFonts w:ascii="Book Antiqua" w:hAnsi="Book Antiqua" w:cs="Arial"/>
                <w:i/>
                <w:iCs/>
                <w:lang w:val="en-US"/>
              </w:rPr>
              <w:t>urety companies granted Authority to Transact Business as Surety (“ATBAS”) Company by the Bureau</w:t>
            </w:r>
          </w:p>
        </w:tc>
        <w:tc>
          <w:tcPr>
            <w:tcW w:w="3828" w:type="dxa"/>
          </w:tcPr>
          <w:p w14:paraId="6905385A" w14:textId="2723464E" w:rsidR="000C5F7A" w:rsidRPr="0059692A" w:rsidRDefault="000C5F7A" w:rsidP="000C5F7A">
            <w:pPr>
              <w:jc w:val="both"/>
              <w:rPr>
                <w:rFonts w:ascii="Book Antiqua" w:hAnsi="Book Antiqua" w:cs="Arial"/>
                <w:lang w:val="en-US"/>
              </w:rPr>
            </w:pPr>
            <w:r w:rsidRPr="0059692A">
              <w:rPr>
                <w:rFonts w:ascii="Book Antiqua" w:hAnsi="Book Antiqua" w:cs="Arial"/>
                <w:lang w:val="en-US"/>
              </w:rPr>
              <w:t xml:space="preserve">The Chief of Bonds Division or equivalent office shall cause the issuance of a demand letter addressed to the importer and surety company be signed by the District </w:t>
            </w:r>
            <w:proofErr w:type="gramStart"/>
            <w:r w:rsidRPr="0059692A">
              <w:rPr>
                <w:rFonts w:ascii="Book Antiqua" w:hAnsi="Book Antiqua" w:cs="Arial"/>
                <w:lang w:val="en-US"/>
              </w:rPr>
              <w:t>Collector</w:t>
            </w:r>
            <w:proofErr w:type="gramEnd"/>
            <w:r w:rsidRPr="0059692A">
              <w:rPr>
                <w:rFonts w:ascii="Book Antiqua" w:hAnsi="Book Antiqua" w:cs="Arial"/>
                <w:lang w:val="en-US"/>
              </w:rPr>
              <w:t xml:space="preserve"> </w:t>
            </w:r>
          </w:p>
          <w:p w14:paraId="0F4CE9DE" w14:textId="14B4A0B9" w:rsidR="00521340" w:rsidRPr="0059692A" w:rsidRDefault="00521340" w:rsidP="000C5F7A">
            <w:pPr>
              <w:jc w:val="both"/>
              <w:rPr>
                <w:rFonts w:ascii="Book Antiqua" w:hAnsi="Book Antiqua" w:cs="Arial"/>
                <w:lang w:val="en-US"/>
              </w:rPr>
            </w:pPr>
          </w:p>
          <w:p w14:paraId="77B865BF" w14:textId="77777777" w:rsidR="00521340" w:rsidRPr="0059692A" w:rsidRDefault="00521340" w:rsidP="00521340">
            <w:pPr>
              <w:jc w:val="both"/>
              <w:rPr>
                <w:rFonts w:ascii="Book Antiqua" w:hAnsi="Book Antiqua" w:cs="Arial"/>
                <w:i/>
                <w:iCs/>
                <w:lang w:val="en-US"/>
              </w:rPr>
            </w:pPr>
          </w:p>
          <w:p w14:paraId="09EA25E6" w14:textId="183A01C0" w:rsidR="006C65AE" w:rsidRPr="0059692A" w:rsidRDefault="00521340" w:rsidP="00735B45">
            <w:pPr>
              <w:jc w:val="both"/>
              <w:rPr>
                <w:rFonts w:ascii="Book Antiqua" w:hAnsi="Book Antiqua" w:cs="Arial"/>
                <w:lang w:val="en-US"/>
              </w:rPr>
            </w:pPr>
            <w:r w:rsidRPr="0059692A">
              <w:rPr>
                <w:rFonts w:ascii="Book Antiqua" w:hAnsi="Book Antiqua" w:cs="Arial"/>
                <w:lang w:val="en-US"/>
              </w:rPr>
              <w:t>The District Collector shall recommend to the Commission through the Legal Service a court of action to ensure payment of obligation.</w:t>
            </w:r>
          </w:p>
        </w:tc>
        <w:tc>
          <w:tcPr>
            <w:tcW w:w="3117" w:type="dxa"/>
          </w:tcPr>
          <w:p w14:paraId="6D249AC9" w14:textId="77777777" w:rsidR="006C65AE" w:rsidRPr="0059692A" w:rsidRDefault="000C5F7A" w:rsidP="00735B45">
            <w:pPr>
              <w:jc w:val="both"/>
              <w:rPr>
                <w:rFonts w:ascii="Book Antiqua" w:hAnsi="Book Antiqua" w:cs="Arial"/>
                <w:lang w:val="en-US"/>
              </w:rPr>
            </w:pPr>
            <w:r w:rsidRPr="0059692A">
              <w:rPr>
                <w:rFonts w:ascii="Book Antiqua" w:hAnsi="Book Antiqua" w:cs="Arial"/>
                <w:lang w:val="en-US"/>
              </w:rPr>
              <w:t>The surety bond shall be cancelled</w:t>
            </w:r>
            <w:r w:rsidR="002C26B3" w:rsidRPr="0059692A">
              <w:rPr>
                <w:rFonts w:ascii="Book Antiqua" w:hAnsi="Book Antiqua" w:cs="Arial"/>
                <w:lang w:val="en-US"/>
              </w:rPr>
              <w:t xml:space="preserve">. </w:t>
            </w:r>
          </w:p>
          <w:p w14:paraId="76BC8D6B" w14:textId="434C3E8D" w:rsidR="00487936" w:rsidRPr="0059692A" w:rsidRDefault="00487936" w:rsidP="00735B45">
            <w:pPr>
              <w:jc w:val="both"/>
              <w:rPr>
                <w:rFonts w:ascii="Book Antiqua" w:hAnsi="Book Antiqua" w:cs="Arial"/>
                <w:lang w:val="en-US"/>
              </w:rPr>
            </w:pPr>
            <w:r w:rsidRPr="0059692A">
              <w:rPr>
                <w:rFonts w:ascii="Book Antiqua" w:hAnsi="Book Antiqua" w:cs="Arial"/>
                <w:lang w:val="en-US"/>
              </w:rPr>
              <w:t xml:space="preserve"> </w:t>
            </w:r>
          </w:p>
        </w:tc>
      </w:tr>
    </w:tbl>
    <w:p w14:paraId="405644D1" w14:textId="1D30AAF2" w:rsidR="00765D47" w:rsidRPr="0059692A" w:rsidRDefault="00765D47" w:rsidP="00735B45">
      <w:pPr>
        <w:jc w:val="both"/>
        <w:rPr>
          <w:rFonts w:ascii="Book Antiqua" w:hAnsi="Book Antiqua" w:cs="Arial"/>
          <w:i/>
          <w:iCs/>
          <w:lang w:val="en-US"/>
        </w:rPr>
      </w:pPr>
    </w:p>
    <w:p w14:paraId="264CF5AB" w14:textId="04217B32" w:rsidR="003D1FF7" w:rsidRPr="0059692A" w:rsidRDefault="003D1FF7" w:rsidP="000C359F">
      <w:pPr>
        <w:rPr>
          <w:rFonts w:ascii="Book Antiqua" w:hAnsi="Book Antiqua" w:cs="Arial"/>
          <w:i/>
          <w:iCs/>
          <w:lang w:val="en-US"/>
        </w:rPr>
      </w:pPr>
      <w:r w:rsidRPr="0059692A">
        <w:rPr>
          <w:rFonts w:ascii="Book Antiqua" w:hAnsi="Book Antiqua" w:cs="Arial"/>
          <w:i/>
          <w:iCs/>
          <w:lang w:val="en-US"/>
        </w:rPr>
        <w:t xml:space="preserve">Requirements for ATBAS </w:t>
      </w:r>
    </w:p>
    <w:p w14:paraId="137FF2C7" w14:textId="38C7CA5A" w:rsidR="003D1FF7" w:rsidRPr="0059692A" w:rsidRDefault="003D1FF7" w:rsidP="003D1FF7">
      <w:pPr>
        <w:pStyle w:val="ListParagraph"/>
        <w:numPr>
          <w:ilvl w:val="0"/>
          <w:numId w:val="14"/>
        </w:numPr>
        <w:jc w:val="both"/>
        <w:rPr>
          <w:rFonts w:ascii="Book Antiqua" w:hAnsi="Book Antiqua" w:cs="Arial"/>
          <w:lang w:val="en-US"/>
        </w:rPr>
      </w:pPr>
      <w:r w:rsidRPr="0059692A">
        <w:rPr>
          <w:rFonts w:ascii="Book Antiqua" w:hAnsi="Book Antiqua" w:cs="Arial"/>
          <w:lang w:val="en-US"/>
        </w:rPr>
        <w:t xml:space="preserve">Applications or renewal of surety companies shall be filed with and processed </w:t>
      </w:r>
      <w:r w:rsidR="00A0565F" w:rsidRPr="0059692A">
        <w:rPr>
          <w:rFonts w:ascii="Book Antiqua" w:hAnsi="Book Antiqua" w:cs="Arial"/>
          <w:lang w:val="en-US"/>
        </w:rPr>
        <w:t>by</w:t>
      </w:r>
      <w:r w:rsidRPr="0059692A">
        <w:rPr>
          <w:rFonts w:ascii="Book Antiqua" w:hAnsi="Book Antiqua" w:cs="Arial"/>
          <w:lang w:val="en-US"/>
        </w:rPr>
        <w:t xml:space="preserve"> </w:t>
      </w:r>
      <w:r w:rsidR="00A0565F" w:rsidRPr="0059692A">
        <w:rPr>
          <w:rFonts w:ascii="Book Antiqua" w:hAnsi="Book Antiqua" w:cs="Arial"/>
          <w:lang w:val="en-US"/>
        </w:rPr>
        <w:t>t</w:t>
      </w:r>
      <w:r w:rsidRPr="0059692A">
        <w:rPr>
          <w:rFonts w:ascii="Book Antiqua" w:hAnsi="Book Antiqua" w:cs="Arial"/>
          <w:lang w:val="en-US"/>
        </w:rPr>
        <w:t xml:space="preserve">he Bonds Division </w:t>
      </w:r>
      <w:r w:rsidR="00102832" w:rsidRPr="0059692A">
        <w:rPr>
          <w:rFonts w:ascii="Book Antiqua" w:hAnsi="Book Antiqua" w:cs="Arial"/>
          <w:lang w:val="en-US"/>
        </w:rPr>
        <w:t>of</w:t>
      </w:r>
      <w:r w:rsidRPr="0059692A">
        <w:rPr>
          <w:rFonts w:ascii="Book Antiqua" w:hAnsi="Book Antiqua" w:cs="Arial"/>
          <w:lang w:val="en-US"/>
        </w:rPr>
        <w:t xml:space="preserve"> the port where the surety companies wisht to be accredited at least 15 working days before the start of the quarter applied for, reviewed by the Collection Service, and upon the latter’s recommendation shall be approved by the District Collector within 7 working days from the submission of the complete documents. </w:t>
      </w:r>
    </w:p>
    <w:p w14:paraId="1EA12F0B" w14:textId="450650F6" w:rsidR="003D1FF7" w:rsidRPr="0059692A" w:rsidRDefault="003D1FF7" w:rsidP="003D1FF7">
      <w:pPr>
        <w:pStyle w:val="ListParagraph"/>
        <w:numPr>
          <w:ilvl w:val="0"/>
          <w:numId w:val="14"/>
        </w:numPr>
        <w:jc w:val="both"/>
        <w:rPr>
          <w:rFonts w:ascii="Book Antiqua" w:hAnsi="Book Antiqua" w:cs="Arial"/>
          <w:lang w:val="en-US"/>
        </w:rPr>
      </w:pPr>
      <w:r w:rsidRPr="0059692A">
        <w:rPr>
          <w:rFonts w:ascii="Book Antiqua" w:hAnsi="Book Antiqua" w:cs="Arial"/>
          <w:lang w:val="en-US"/>
        </w:rPr>
        <w:t xml:space="preserve">Only surety companies in good standing with the Bureau shall qualify for </w:t>
      </w:r>
      <w:proofErr w:type="gramStart"/>
      <w:r w:rsidRPr="0059692A">
        <w:rPr>
          <w:rFonts w:ascii="Book Antiqua" w:hAnsi="Book Antiqua" w:cs="Arial"/>
          <w:lang w:val="en-US"/>
        </w:rPr>
        <w:t>ATBAS</w:t>
      </w:r>
      <w:proofErr w:type="gramEnd"/>
      <w:r w:rsidRPr="0059692A">
        <w:rPr>
          <w:rFonts w:ascii="Book Antiqua" w:hAnsi="Book Antiqua" w:cs="Arial"/>
          <w:lang w:val="en-US"/>
        </w:rPr>
        <w:t xml:space="preserve"> </w:t>
      </w:r>
    </w:p>
    <w:p w14:paraId="1E5CBA52" w14:textId="50FAD0D1" w:rsidR="003D1FF7" w:rsidRPr="0059692A" w:rsidRDefault="003D1FF7" w:rsidP="003D1FF7">
      <w:pPr>
        <w:pStyle w:val="ListParagraph"/>
        <w:numPr>
          <w:ilvl w:val="0"/>
          <w:numId w:val="14"/>
        </w:numPr>
        <w:jc w:val="both"/>
        <w:rPr>
          <w:rFonts w:ascii="Book Antiqua" w:hAnsi="Book Antiqua" w:cs="Arial"/>
          <w:lang w:val="en-US"/>
        </w:rPr>
      </w:pPr>
      <w:r w:rsidRPr="0059692A">
        <w:rPr>
          <w:rFonts w:ascii="Book Antiqua" w:hAnsi="Book Antiqua" w:cs="Arial"/>
          <w:lang w:val="en-US"/>
        </w:rPr>
        <w:t xml:space="preserve">The accreditation as ATBAS shall be food and effective for a period of one quarter, renewable every quarter. </w:t>
      </w:r>
    </w:p>
    <w:p w14:paraId="5B1050D1" w14:textId="77777777" w:rsidR="003D1FF7" w:rsidRPr="0059692A" w:rsidRDefault="003D1FF7" w:rsidP="000C359F">
      <w:pPr>
        <w:rPr>
          <w:rFonts w:ascii="Book Antiqua" w:hAnsi="Book Antiqua" w:cs="Arial"/>
          <w:i/>
          <w:iCs/>
          <w:lang w:val="en-US"/>
        </w:rPr>
      </w:pPr>
    </w:p>
    <w:p w14:paraId="53EEA7DB" w14:textId="049369C2" w:rsidR="001E536F" w:rsidRPr="0059692A" w:rsidRDefault="00975C05" w:rsidP="000C359F">
      <w:pPr>
        <w:rPr>
          <w:rFonts w:ascii="Book Antiqua" w:hAnsi="Book Antiqua" w:cs="Arial"/>
          <w:i/>
          <w:iCs/>
          <w:lang w:val="en-US"/>
        </w:rPr>
      </w:pPr>
      <w:r w:rsidRPr="0059692A">
        <w:rPr>
          <w:rFonts w:ascii="Book Antiqua" w:hAnsi="Book Antiqua" w:cs="Arial"/>
          <w:i/>
          <w:iCs/>
          <w:lang w:val="en-US"/>
        </w:rPr>
        <w:t>Penalties</w:t>
      </w:r>
      <w:r w:rsidR="00B04A53" w:rsidRPr="0059692A">
        <w:rPr>
          <w:rFonts w:ascii="Book Antiqua" w:hAnsi="Book Antiqua" w:cs="Arial"/>
          <w:i/>
          <w:iCs/>
          <w:lang w:val="en-US"/>
        </w:rPr>
        <w:t xml:space="preserve"> for Breach of Bonds </w:t>
      </w:r>
    </w:p>
    <w:p w14:paraId="22F95ABE" w14:textId="6FB61682" w:rsidR="00975C05" w:rsidRPr="0059692A" w:rsidRDefault="00975C05" w:rsidP="00467383">
      <w:pPr>
        <w:rPr>
          <w:rFonts w:ascii="Book Antiqua" w:hAnsi="Book Antiqua" w:cs="Arial"/>
          <w:lang w:val="en-US"/>
        </w:rPr>
      </w:pPr>
      <w:r w:rsidRPr="0059692A">
        <w:rPr>
          <w:rFonts w:ascii="Book Antiqua" w:hAnsi="Book Antiqua" w:cs="Arial"/>
          <w:lang w:val="en-US"/>
        </w:rPr>
        <w:t xml:space="preserve">Temporarily admitted goods re-exported beyond the prescribed period shall be subject to the following penalties: </w:t>
      </w:r>
    </w:p>
    <w:p w14:paraId="378A5D42" w14:textId="52287355" w:rsidR="00467383" w:rsidRPr="0059692A" w:rsidRDefault="00467383" w:rsidP="00467383">
      <w:pPr>
        <w:rPr>
          <w:rFonts w:ascii="Book Antiqua" w:hAnsi="Book Antiqua" w:cs="Arial"/>
          <w:lang w:val="en-US"/>
        </w:rPr>
      </w:pPr>
    </w:p>
    <w:tbl>
      <w:tblPr>
        <w:tblStyle w:val="TableGrid"/>
        <w:tblW w:w="0" w:type="auto"/>
        <w:tblLook w:val="04A0" w:firstRow="1" w:lastRow="0" w:firstColumn="1" w:lastColumn="0" w:noHBand="0" w:noVBand="1"/>
      </w:tblPr>
      <w:tblGrid>
        <w:gridCol w:w="4675"/>
        <w:gridCol w:w="4675"/>
      </w:tblGrid>
      <w:tr w:rsidR="00467383" w:rsidRPr="0059692A" w14:paraId="26669498" w14:textId="77777777" w:rsidTr="00467383">
        <w:tc>
          <w:tcPr>
            <w:tcW w:w="4675" w:type="dxa"/>
          </w:tcPr>
          <w:p w14:paraId="20F09A56" w14:textId="2C74FB67" w:rsidR="00467383" w:rsidRPr="0059692A" w:rsidRDefault="00467383" w:rsidP="00467383">
            <w:pPr>
              <w:jc w:val="center"/>
              <w:rPr>
                <w:rFonts w:ascii="Book Antiqua" w:hAnsi="Book Antiqua" w:cs="Arial"/>
                <w:b/>
                <w:bCs/>
                <w:i/>
                <w:iCs/>
                <w:lang w:val="en-US"/>
              </w:rPr>
            </w:pPr>
            <w:r w:rsidRPr="0059692A">
              <w:rPr>
                <w:rFonts w:ascii="Book Antiqua" w:hAnsi="Book Antiqua" w:cs="Arial"/>
                <w:b/>
                <w:bCs/>
                <w:i/>
                <w:iCs/>
                <w:lang w:val="en-US"/>
              </w:rPr>
              <w:t>Date</w:t>
            </w:r>
          </w:p>
        </w:tc>
        <w:tc>
          <w:tcPr>
            <w:tcW w:w="4675" w:type="dxa"/>
          </w:tcPr>
          <w:p w14:paraId="495D9694" w14:textId="5E52F118" w:rsidR="00467383" w:rsidRPr="0059692A" w:rsidRDefault="00467383" w:rsidP="00467383">
            <w:pPr>
              <w:jc w:val="center"/>
              <w:rPr>
                <w:rFonts w:ascii="Book Antiqua" w:hAnsi="Book Antiqua" w:cs="Arial"/>
                <w:b/>
                <w:bCs/>
                <w:i/>
                <w:iCs/>
                <w:lang w:val="en-US"/>
              </w:rPr>
            </w:pPr>
            <w:r w:rsidRPr="0059692A">
              <w:rPr>
                <w:rFonts w:ascii="Book Antiqua" w:hAnsi="Book Antiqua" w:cs="Arial"/>
                <w:b/>
                <w:bCs/>
                <w:i/>
                <w:iCs/>
                <w:lang w:val="en-US"/>
              </w:rPr>
              <w:t>Penalty</w:t>
            </w:r>
          </w:p>
        </w:tc>
      </w:tr>
      <w:tr w:rsidR="00467383" w:rsidRPr="0059692A" w14:paraId="24EE982F" w14:textId="77777777" w:rsidTr="00467383">
        <w:tc>
          <w:tcPr>
            <w:tcW w:w="4675" w:type="dxa"/>
          </w:tcPr>
          <w:p w14:paraId="485F431D" w14:textId="750C29F7" w:rsidR="00467383" w:rsidRPr="0059692A" w:rsidRDefault="00F50D75" w:rsidP="00467383">
            <w:pPr>
              <w:rPr>
                <w:rFonts w:ascii="Book Antiqua" w:hAnsi="Book Antiqua" w:cs="Arial"/>
                <w:lang w:val="en-US"/>
              </w:rPr>
            </w:pPr>
            <w:r w:rsidRPr="0059692A">
              <w:rPr>
                <w:rFonts w:ascii="Book Antiqua" w:hAnsi="Book Antiqua" w:cs="Arial"/>
                <w:lang w:val="en-US"/>
              </w:rPr>
              <w:t>Up to 30 days from the date of expiration of the bond to date of actual exportation or payment of duties and taxes</w:t>
            </w:r>
          </w:p>
        </w:tc>
        <w:tc>
          <w:tcPr>
            <w:tcW w:w="4675" w:type="dxa"/>
          </w:tcPr>
          <w:p w14:paraId="099E9CB6" w14:textId="0496C9F5" w:rsidR="00467383" w:rsidRPr="0059692A" w:rsidRDefault="00F50D75" w:rsidP="00467383">
            <w:pPr>
              <w:rPr>
                <w:rFonts w:ascii="Book Antiqua" w:hAnsi="Book Antiqua" w:cs="Arial"/>
                <w:lang w:val="en-US"/>
              </w:rPr>
            </w:pPr>
            <w:r w:rsidRPr="0059692A">
              <w:rPr>
                <w:rFonts w:ascii="Book Antiqua" w:hAnsi="Book Antiqua" w:cs="Arial"/>
                <w:lang w:val="en-US"/>
              </w:rPr>
              <w:t xml:space="preserve">Php 5,0000 or 2% of the collectible duties and taxes whichever is higher, plus a surcharge of 10% of the total collectible </w:t>
            </w:r>
            <w:r w:rsidRPr="0059692A">
              <w:rPr>
                <w:rFonts w:ascii="Book Antiqua" w:hAnsi="Book Antiqua" w:cs="Arial"/>
                <w:lang w:val="en-US"/>
              </w:rPr>
              <w:lastRenderedPageBreak/>
              <w:t xml:space="preserve">duties, </w:t>
            </w:r>
            <w:proofErr w:type="gramStart"/>
            <w:r w:rsidRPr="0059692A">
              <w:rPr>
                <w:rFonts w:ascii="Book Antiqua" w:hAnsi="Book Antiqua" w:cs="Arial"/>
                <w:lang w:val="en-US"/>
              </w:rPr>
              <w:t>taxes</w:t>
            </w:r>
            <w:proofErr w:type="gramEnd"/>
            <w:r w:rsidRPr="0059692A">
              <w:rPr>
                <w:rFonts w:ascii="Book Antiqua" w:hAnsi="Book Antiqua" w:cs="Arial"/>
                <w:lang w:val="en-US"/>
              </w:rPr>
              <w:t xml:space="preserve"> and other charges, which surcharge shall be increased to 25% if the delinquency lasts for more than one yar </w:t>
            </w:r>
          </w:p>
        </w:tc>
      </w:tr>
      <w:tr w:rsidR="00467383" w:rsidRPr="0059692A" w14:paraId="4E21236C" w14:textId="77777777" w:rsidTr="00467383">
        <w:tc>
          <w:tcPr>
            <w:tcW w:w="4675" w:type="dxa"/>
          </w:tcPr>
          <w:p w14:paraId="7051010A" w14:textId="422FC6E6" w:rsidR="00467383" w:rsidRPr="0059692A" w:rsidRDefault="00F50D75" w:rsidP="00467383">
            <w:pPr>
              <w:rPr>
                <w:rFonts w:ascii="Book Antiqua" w:hAnsi="Book Antiqua" w:cs="Arial"/>
                <w:lang w:val="en-US"/>
              </w:rPr>
            </w:pPr>
            <w:r w:rsidRPr="0059692A">
              <w:rPr>
                <w:rFonts w:ascii="Book Antiqua" w:hAnsi="Book Antiqua" w:cs="Arial"/>
                <w:lang w:val="en-US"/>
              </w:rPr>
              <w:lastRenderedPageBreak/>
              <w:t>Beyond 30 days to one year from the date of expiration of the bond to date of actual exportation and payment of duties and taxes</w:t>
            </w:r>
          </w:p>
        </w:tc>
        <w:tc>
          <w:tcPr>
            <w:tcW w:w="4675" w:type="dxa"/>
          </w:tcPr>
          <w:p w14:paraId="6EA1BEC9" w14:textId="6BBBEA0D" w:rsidR="00467383" w:rsidRPr="0059692A" w:rsidRDefault="00F50D75" w:rsidP="00467383">
            <w:pPr>
              <w:rPr>
                <w:rFonts w:ascii="Book Antiqua" w:hAnsi="Book Antiqua" w:cs="Arial"/>
                <w:lang w:val="en-US"/>
              </w:rPr>
            </w:pPr>
            <w:r w:rsidRPr="0059692A">
              <w:rPr>
                <w:rFonts w:ascii="Book Antiqua" w:hAnsi="Book Antiqua" w:cs="Arial"/>
                <w:lang w:val="en-US"/>
              </w:rPr>
              <w:t>Php 10,000 or 10% of the collectible duties and taxes whichever is higher, plus a surcharge of 10% of the total collectible duties, taxes, and other charges</w:t>
            </w:r>
          </w:p>
        </w:tc>
      </w:tr>
      <w:tr w:rsidR="00467383" w:rsidRPr="0059692A" w14:paraId="0C29D864" w14:textId="77777777" w:rsidTr="00467383">
        <w:tc>
          <w:tcPr>
            <w:tcW w:w="4675" w:type="dxa"/>
          </w:tcPr>
          <w:p w14:paraId="3B0162BD" w14:textId="4234E2B7" w:rsidR="00467383" w:rsidRPr="0059692A" w:rsidRDefault="00F50D75" w:rsidP="00467383">
            <w:pPr>
              <w:rPr>
                <w:rFonts w:ascii="Book Antiqua" w:hAnsi="Book Antiqua" w:cs="Arial"/>
                <w:lang w:val="en-US"/>
              </w:rPr>
            </w:pPr>
            <w:r w:rsidRPr="0059692A">
              <w:rPr>
                <w:rFonts w:ascii="Book Antiqua" w:hAnsi="Book Antiqua" w:cs="Arial"/>
                <w:lang w:val="en-US"/>
              </w:rPr>
              <w:t xml:space="preserve">Beyond 1 year form the date of expiration of the bond to date of actual exportation or </w:t>
            </w:r>
            <w:r w:rsidR="008B106E" w:rsidRPr="0059692A">
              <w:rPr>
                <w:rFonts w:ascii="Book Antiqua" w:hAnsi="Book Antiqua" w:cs="Arial"/>
                <w:lang w:val="en-US"/>
              </w:rPr>
              <w:t>payment</w:t>
            </w:r>
            <w:r w:rsidRPr="0059692A">
              <w:rPr>
                <w:rFonts w:ascii="Book Antiqua" w:hAnsi="Book Antiqua" w:cs="Arial"/>
                <w:lang w:val="en-US"/>
              </w:rPr>
              <w:t xml:space="preserve"> to duties and taxes</w:t>
            </w:r>
          </w:p>
        </w:tc>
        <w:tc>
          <w:tcPr>
            <w:tcW w:w="4675" w:type="dxa"/>
          </w:tcPr>
          <w:p w14:paraId="3F35C095" w14:textId="50073641" w:rsidR="00467383" w:rsidRPr="0059692A" w:rsidRDefault="00F50D75" w:rsidP="00467383">
            <w:pPr>
              <w:rPr>
                <w:rFonts w:ascii="Book Antiqua" w:hAnsi="Book Antiqua" w:cs="Arial"/>
                <w:lang w:val="en-US"/>
              </w:rPr>
            </w:pPr>
            <w:r w:rsidRPr="0059692A">
              <w:rPr>
                <w:rFonts w:ascii="Book Antiqua" w:hAnsi="Book Antiqua" w:cs="Arial"/>
                <w:lang w:val="en-US"/>
              </w:rPr>
              <w:t xml:space="preserve">Php 10,000 or 20% of the collectible duties and taxes whichever is higher, plus a surcharge of 25%. </w:t>
            </w:r>
          </w:p>
        </w:tc>
      </w:tr>
    </w:tbl>
    <w:p w14:paraId="46944C59" w14:textId="35707C52" w:rsidR="008B106E" w:rsidRPr="0059692A" w:rsidRDefault="008B106E" w:rsidP="00467383">
      <w:pPr>
        <w:rPr>
          <w:rFonts w:ascii="Book Antiqua" w:hAnsi="Book Antiqua" w:cs="Arial"/>
          <w:lang w:val="en-US"/>
        </w:rPr>
      </w:pPr>
    </w:p>
    <w:p w14:paraId="46194C8B" w14:textId="77777777" w:rsidR="00B04A53" w:rsidRPr="0059692A" w:rsidRDefault="00B04A53" w:rsidP="000C359F">
      <w:pPr>
        <w:rPr>
          <w:rFonts w:ascii="Book Antiqua" w:hAnsi="Book Antiqua" w:cs="Arial"/>
          <w:b/>
          <w:bCs/>
          <w:lang w:val="en-US"/>
        </w:rPr>
      </w:pPr>
    </w:p>
    <w:p w14:paraId="75DAB508" w14:textId="5E071765" w:rsidR="001E536F" w:rsidRPr="0059692A" w:rsidRDefault="00790CBE" w:rsidP="000F6EED">
      <w:pPr>
        <w:jc w:val="center"/>
        <w:rPr>
          <w:rFonts w:ascii="Book Antiqua" w:hAnsi="Book Antiqua" w:cs="Arial"/>
          <w:b/>
          <w:bCs/>
          <w:u w:val="single"/>
          <w:lang w:val="en-US"/>
        </w:rPr>
      </w:pPr>
      <w:r w:rsidRPr="0059692A">
        <w:rPr>
          <w:rFonts w:ascii="Book Antiqua" w:hAnsi="Book Antiqua" w:cs="Arial"/>
          <w:b/>
          <w:bCs/>
          <w:u w:val="single"/>
          <w:lang w:val="en-US"/>
        </w:rPr>
        <w:t>Securities and Exchange Commis</w:t>
      </w:r>
      <w:r w:rsidR="0066181D" w:rsidRPr="0059692A">
        <w:rPr>
          <w:rFonts w:ascii="Book Antiqua" w:hAnsi="Book Antiqua" w:cs="Arial"/>
          <w:b/>
          <w:bCs/>
          <w:u w:val="single"/>
          <w:lang w:val="en-US"/>
        </w:rPr>
        <w:t>sion</w:t>
      </w:r>
      <w:r w:rsidR="001E536F" w:rsidRPr="0059692A">
        <w:rPr>
          <w:rFonts w:ascii="Book Antiqua" w:hAnsi="Book Antiqua" w:cs="Arial"/>
          <w:b/>
          <w:bCs/>
          <w:u w:val="single"/>
          <w:lang w:val="en-US"/>
        </w:rPr>
        <w:t xml:space="preserve"> – </w:t>
      </w:r>
      <w:r w:rsidR="000F6EED" w:rsidRPr="0059692A">
        <w:rPr>
          <w:rFonts w:ascii="Book Antiqua" w:hAnsi="Book Antiqua" w:cs="Arial"/>
          <w:b/>
          <w:bCs/>
          <w:u w:val="single"/>
          <w:lang w:val="en-US"/>
        </w:rPr>
        <w:t xml:space="preserve">Opinion </w:t>
      </w:r>
    </w:p>
    <w:p w14:paraId="511967F0" w14:textId="56B551C1" w:rsidR="000F6EED" w:rsidRPr="0059692A" w:rsidRDefault="000F6EED" w:rsidP="000F6EED">
      <w:pPr>
        <w:rPr>
          <w:rFonts w:ascii="Book Antiqua" w:hAnsi="Book Antiqua" w:cs="Arial"/>
          <w:b/>
          <w:bCs/>
          <w:u w:val="single"/>
          <w:lang w:val="en-US"/>
        </w:rPr>
      </w:pPr>
    </w:p>
    <w:p w14:paraId="35E34277" w14:textId="2E8B5F2A" w:rsidR="00AD52E6" w:rsidRPr="0059692A" w:rsidRDefault="0016444E" w:rsidP="00BA6553">
      <w:pPr>
        <w:jc w:val="both"/>
        <w:rPr>
          <w:rFonts w:ascii="Book Antiqua" w:hAnsi="Book Antiqua" w:cs="Arial"/>
        </w:rPr>
      </w:pPr>
      <w:r w:rsidRPr="0059692A">
        <w:rPr>
          <w:rFonts w:ascii="Book Antiqua" w:hAnsi="Book Antiqua" w:cs="Arial"/>
          <w:b/>
          <w:bCs/>
          <w:lang w:val="en-US"/>
        </w:rPr>
        <w:t xml:space="preserve">SEC-OGC OPINION NO. 21-05.  </w:t>
      </w:r>
      <w:r w:rsidR="00BA6553" w:rsidRPr="0059692A">
        <w:rPr>
          <w:rFonts w:ascii="Book Antiqua" w:hAnsi="Book Antiqua" w:cs="Arial"/>
          <w:b/>
          <w:bCs/>
        </w:rPr>
        <w:t xml:space="preserve">RE:  INCREASE OF AUTHORIZED CAPITAL STOCK; REGISTRATION OF SHARES </w:t>
      </w:r>
      <w:proofErr w:type="gramStart"/>
      <w:r w:rsidR="00BA6553" w:rsidRPr="0059692A">
        <w:rPr>
          <w:rFonts w:ascii="Book Antiqua" w:hAnsi="Book Antiqua" w:cs="Arial"/>
          <w:b/>
          <w:bCs/>
        </w:rPr>
        <w:t>OF  STOCK</w:t>
      </w:r>
      <w:proofErr w:type="gramEnd"/>
      <w:r w:rsidR="00BA6553" w:rsidRPr="0059692A">
        <w:rPr>
          <w:rFonts w:ascii="Book Antiqua" w:hAnsi="Book Antiqua" w:cs="Arial"/>
          <w:b/>
          <w:bCs/>
        </w:rPr>
        <w:t xml:space="preserve"> TO BE ISSUED THEREFOR. May 7, 2021. </w:t>
      </w:r>
      <w:r w:rsidR="009E5E63" w:rsidRPr="0059692A">
        <w:rPr>
          <w:rFonts w:ascii="Book Antiqua" w:hAnsi="Book Antiqua" w:cs="Arial"/>
        </w:rPr>
        <w:t>This is a request for an opinion on whether the additional shares of stock that may be issued as a consequence of</w:t>
      </w:r>
      <w:r w:rsidR="00AD52E6" w:rsidRPr="0059692A">
        <w:rPr>
          <w:rFonts w:ascii="Book Antiqua" w:hAnsi="Book Antiqua" w:cs="Arial"/>
        </w:rPr>
        <w:t xml:space="preserve"> </w:t>
      </w:r>
      <w:proofErr w:type="gramStart"/>
      <w:r w:rsidR="00AD52E6" w:rsidRPr="0059692A">
        <w:rPr>
          <w:rFonts w:ascii="Book Antiqua" w:hAnsi="Book Antiqua" w:cs="Arial"/>
        </w:rPr>
        <w:t>the  increase</w:t>
      </w:r>
      <w:proofErr w:type="gramEnd"/>
      <w:r w:rsidR="00AD52E6" w:rsidRPr="0059692A">
        <w:rPr>
          <w:rFonts w:ascii="Book Antiqua" w:hAnsi="Book Antiqua" w:cs="Arial"/>
        </w:rPr>
        <w:t xml:space="preserve"> in authorized  capital  stock (“ACS”) of  the corporation which is subject to the stockholder’s pre-emptive rights need to be registered</w:t>
      </w:r>
      <w:r w:rsidR="0097290B" w:rsidRPr="0059692A">
        <w:rPr>
          <w:rFonts w:ascii="Book Antiqua" w:hAnsi="Book Antiqua" w:cs="Arial"/>
        </w:rPr>
        <w:t xml:space="preserve"> pursuant to the Securities </w:t>
      </w:r>
      <w:r w:rsidR="00852385" w:rsidRPr="0059692A">
        <w:rPr>
          <w:rFonts w:ascii="Book Antiqua" w:hAnsi="Book Antiqua" w:cs="Arial"/>
        </w:rPr>
        <w:t>Regulations</w:t>
      </w:r>
      <w:r w:rsidR="0097290B" w:rsidRPr="0059692A">
        <w:rPr>
          <w:rFonts w:ascii="Book Antiqua" w:hAnsi="Book Antiqua" w:cs="Arial"/>
        </w:rPr>
        <w:t xml:space="preserve"> Code (“SRC”)</w:t>
      </w:r>
      <w:r w:rsidR="00AD52E6" w:rsidRPr="0059692A">
        <w:rPr>
          <w:rFonts w:ascii="Book Antiqua" w:hAnsi="Book Antiqua" w:cs="Arial"/>
        </w:rPr>
        <w:t>.</w:t>
      </w:r>
      <w:r w:rsidR="00FA5B17" w:rsidRPr="0059692A">
        <w:rPr>
          <w:rFonts w:ascii="Book Antiqua" w:hAnsi="Book Antiqua" w:cs="Arial"/>
        </w:rPr>
        <w:t xml:space="preserve"> Specifically, the corporation’s ACS increased from Php100 Million to Php250 Million, </w:t>
      </w:r>
      <w:r w:rsidR="00F805E6" w:rsidRPr="0059692A">
        <w:rPr>
          <w:rFonts w:ascii="Book Antiqua" w:hAnsi="Book Antiqua" w:cs="Arial"/>
        </w:rPr>
        <w:t>increasing the number of shares from 50,000 to 125,000 at a par value of Php 2,000 per share.</w:t>
      </w:r>
      <w:r w:rsidR="00577314" w:rsidRPr="0059692A">
        <w:rPr>
          <w:rFonts w:ascii="Book Antiqua" w:hAnsi="Book Antiqua" w:cs="Arial"/>
        </w:rPr>
        <w:t xml:space="preserve"> Further, the corporation is planning to include in the shares to be issued relative to the exercise of the stockholder’s pre-</w:t>
      </w:r>
      <w:proofErr w:type="gramStart"/>
      <w:r w:rsidR="00577314" w:rsidRPr="0059692A">
        <w:rPr>
          <w:rFonts w:ascii="Book Antiqua" w:hAnsi="Book Antiqua" w:cs="Arial"/>
        </w:rPr>
        <w:t>emptive  rights</w:t>
      </w:r>
      <w:proofErr w:type="gramEnd"/>
      <w:r w:rsidR="00577314" w:rsidRPr="0059692A">
        <w:rPr>
          <w:rFonts w:ascii="Book Antiqua" w:hAnsi="Book Antiqua" w:cs="Arial"/>
        </w:rPr>
        <w:t>,</w:t>
      </w:r>
      <w:r w:rsidR="00804CD7" w:rsidRPr="0059692A">
        <w:rPr>
          <w:rFonts w:ascii="Book Antiqua" w:hAnsi="Book Antiqua" w:cs="Arial"/>
        </w:rPr>
        <w:t xml:space="preserve"> </w:t>
      </w:r>
      <w:r w:rsidR="00577314" w:rsidRPr="0059692A">
        <w:rPr>
          <w:rFonts w:ascii="Book Antiqua" w:hAnsi="Book Antiqua" w:cs="Arial"/>
        </w:rPr>
        <w:t>certain  medical  benefits which effectively increased the par value of each share from P2,000to P3,500. T</w:t>
      </w:r>
      <w:r w:rsidR="00F805E6" w:rsidRPr="0059692A">
        <w:rPr>
          <w:rFonts w:ascii="Book Antiqua" w:hAnsi="Book Antiqua" w:cs="Arial"/>
        </w:rPr>
        <w:t>he SEC held that while the securities are not exempt securities under Section 9,</w:t>
      </w:r>
      <w:r w:rsidR="00852385" w:rsidRPr="0059692A">
        <w:rPr>
          <w:rFonts w:ascii="Book Antiqua" w:hAnsi="Book Antiqua" w:cs="Arial"/>
        </w:rPr>
        <w:t xml:space="preserve"> SRC</w:t>
      </w:r>
      <w:r w:rsidR="00F805E6" w:rsidRPr="0059692A">
        <w:rPr>
          <w:rFonts w:ascii="Book Antiqua" w:hAnsi="Book Antiqua" w:cs="Arial"/>
        </w:rPr>
        <w:t xml:space="preserve"> the sale of unissued shares and sale from increase in authorized capital stock of a corporation are </w:t>
      </w:r>
      <w:r w:rsidR="00F805E6" w:rsidRPr="0059692A">
        <w:rPr>
          <w:rFonts w:ascii="Book Antiqua" w:hAnsi="Book Antiqua" w:cs="Arial"/>
          <w:i/>
          <w:iCs/>
        </w:rPr>
        <w:t>exempt transactions</w:t>
      </w:r>
      <w:r w:rsidR="00F805E6" w:rsidRPr="0059692A">
        <w:rPr>
          <w:rFonts w:ascii="Book Antiqua" w:hAnsi="Book Antiqua" w:cs="Arial"/>
        </w:rPr>
        <w:t xml:space="preserve"> where the requirement of registration does not apply pursuant tot to Section 10 of the SRC. </w:t>
      </w:r>
    </w:p>
    <w:p w14:paraId="395DBBD5" w14:textId="5BFBB1AB" w:rsidR="0092539A" w:rsidRPr="0059692A" w:rsidRDefault="0092539A" w:rsidP="00BA6553">
      <w:pPr>
        <w:jc w:val="both"/>
        <w:rPr>
          <w:rFonts w:ascii="Book Antiqua" w:hAnsi="Book Antiqua" w:cs="Arial"/>
        </w:rPr>
      </w:pPr>
    </w:p>
    <w:p w14:paraId="61DBDE69" w14:textId="5A20499F" w:rsidR="0092539A" w:rsidRPr="00BA6553" w:rsidRDefault="0092539A" w:rsidP="00BA6553">
      <w:pPr>
        <w:jc w:val="both"/>
        <w:rPr>
          <w:rFonts w:ascii="Book Antiqua" w:hAnsi="Book Antiqua" w:cs="Arial"/>
        </w:rPr>
      </w:pPr>
      <w:r w:rsidRPr="0059692A">
        <w:rPr>
          <w:rFonts w:ascii="Book Antiqua" w:hAnsi="Book Antiqua" w:cs="Arial"/>
        </w:rPr>
        <w:t xml:space="preserve">We note, however, that despite </w:t>
      </w:r>
      <w:proofErr w:type="gramStart"/>
      <w:r w:rsidRPr="0059692A">
        <w:rPr>
          <w:rFonts w:ascii="Book Antiqua" w:hAnsi="Book Antiqua" w:cs="Arial"/>
        </w:rPr>
        <w:t xml:space="preserve">the </w:t>
      </w:r>
      <w:r w:rsidR="0093522D" w:rsidRPr="0059692A">
        <w:rPr>
          <w:rFonts w:ascii="Book Antiqua" w:hAnsi="Book Antiqua" w:cs="Arial"/>
        </w:rPr>
        <w:t>such</w:t>
      </w:r>
      <w:proofErr w:type="gramEnd"/>
      <w:r w:rsidR="0093522D" w:rsidRPr="0059692A">
        <w:rPr>
          <w:rFonts w:ascii="Book Antiqua" w:hAnsi="Book Antiqua" w:cs="Arial"/>
        </w:rPr>
        <w:t xml:space="preserve"> exemption from the registration requirement</w:t>
      </w:r>
      <w:r w:rsidR="00E218A9" w:rsidRPr="0059692A">
        <w:rPr>
          <w:rFonts w:ascii="Book Antiqua" w:hAnsi="Book Antiqua" w:cs="Arial"/>
        </w:rPr>
        <w:t xml:space="preserve"> under the SRC, the original issuance of the </w:t>
      </w:r>
      <w:r w:rsidR="00F10DD8" w:rsidRPr="0059692A">
        <w:rPr>
          <w:rFonts w:ascii="Book Antiqua" w:hAnsi="Book Antiqua" w:cs="Arial"/>
        </w:rPr>
        <w:t xml:space="preserve">shares pursuant to the increase of capital stock shall still be subject to documentary stamp taxes. </w:t>
      </w:r>
    </w:p>
    <w:p w14:paraId="050E44B7" w14:textId="6966767D" w:rsidR="000F6EED" w:rsidRPr="0059692A" w:rsidRDefault="000F6EED" w:rsidP="000F6EED">
      <w:pPr>
        <w:rPr>
          <w:rFonts w:ascii="Book Antiqua" w:hAnsi="Book Antiqua" w:cs="Arial"/>
          <w:b/>
          <w:bCs/>
          <w:lang w:val="en-US"/>
        </w:rPr>
      </w:pPr>
    </w:p>
    <w:sectPr w:rsidR="000F6EED" w:rsidRPr="0059692A">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3994" w14:textId="77777777" w:rsidR="00E37BA6" w:rsidRDefault="00E37BA6" w:rsidP="00D356C3">
      <w:r>
        <w:separator/>
      </w:r>
    </w:p>
  </w:endnote>
  <w:endnote w:type="continuationSeparator" w:id="0">
    <w:p w14:paraId="0EBF2942" w14:textId="77777777" w:rsidR="00E37BA6" w:rsidRDefault="00E37BA6" w:rsidP="00D3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3685491"/>
      <w:docPartObj>
        <w:docPartGallery w:val="Page Numbers (Bottom of Page)"/>
        <w:docPartUnique/>
      </w:docPartObj>
    </w:sdtPr>
    <w:sdtEndPr>
      <w:rPr>
        <w:rStyle w:val="PageNumber"/>
      </w:rPr>
    </w:sdtEndPr>
    <w:sdtContent>
      <w:p w14:paraId="54E3CABE" w14:textId="27D36BDE" w:rsidR="004F17E9" w:rsidRDefault="004F17E9" w:rsidP="00FD5A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584F38" w14:textId="77777777" w:rsidR="004F17E9" w:rsidRDefault="004F17E9" w:rsidP="004F17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237092"/>
      <w:docPartObj>
        <w:docPartGallery w:val="Page Numbers (Bottom of Page)"/>
        <w:docPartUnique/>
      </w:docPartObj>
    </w:sdtPr>
    <w:sdtEndPr>
      <w:rPr>
        <w:rStyle w:val="PageNumber"/>
      </w:rPr>
    </w:sdtEndPr>
    <w:sdtContent>
      <w:p w14:paraId="38B3D0FE" w14:textId="04043A2C" w:rsidR="004F17E9" w:rsidRDefault="004F17E9" w:rsidP="00FD5A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E77657" w14:textId="77777777" w:rsidR="004F17E9" w:rsidRDefault="004F17E9" w:rsidP="004F17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AE48" w14:textId="77777777" w:rsidR="00E37BA6" w:rsidRDefault="00E37BA6" w:rsidP="00D356C3">
      <w:r>
        <w:separator/>
      </w:r>
    </w:p>
  </w:footnote>
  <w:footnote w:type="continuationSeparator" w:id="0">
    <w:p w14:paraId="7838CCD4" w14:textId="77777777" w:rsidR="00E37BA6" w:rsidRDefault="00E37BA6" w:rsidP="00D3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0B2"/>
    <w:multiLevelType w:val="hybridMultilevel"/>
    <w:tmpl w:val="5B961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62F3E"/>
    <w:multiLevelType w:val="hybridMultilevel"/>
    <w:tmpl w:val="1C8C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E58FD"/>
    <w:multiLevelType w:val="hybridMultilevel"/>
    <w:tmpl w:val="4EBE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B27D1"/>
    <w:multiLevelType w:val="hybridMultilevel"/>
    <w:tmpl w:val="694C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92359"/>
    <w:multiLevelType w:val="hybridMultilevel"/>
    <w:tmpl w:val="AAEE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E05E9"/>
    <w:multiLevelType w:val="hybridMultilevel"/>
    <w:tmpl w:val="C178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F6882"/>
    <w:multiLevelType w:val="hybridMultilevel"/>
    <w:tmpl w:val="1F02F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F6305"/>
    <w:multiLevelType w:val="hybridMultilevel"/>
    <w:tmpl w:val="14DA6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664F5"/>
    <w:multiLevelType w:val="hybridMultilevel"/>
    <w:tmpl w:val="A2FC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A4D48"/>
    <w:multiLevelType w:val="hybridMultilevel"/>
    <w:tmpl w:val="053A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91266"/>
    <w:multiLevelType w:val="hybridMultilevel"/>
    <w:tmpl w:val="E85E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61598"/>
    <w:multiLevelType w:val="hybridMultilevel"/>
    <w:tmpl w:val="7214D28E"/>
    <w:lvl w:ilvl="0" w:tplc="7F80D896">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06A06"/>
    <w:multiLevelType w:val="hybridMultilevel"/>
    <w:tmpl w:val="055E6A30"/>
    <w:lvl w:ilvl="0" w:tplc="FD7E81A4">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80FC7"/>
    <w:multiLevelType w:val="hybridMultilevel"/>
    <w:tmpl w:val="0FB6F43E"/>
    <w:lvl w:ilvl="0" w:tplc="2346950A">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8"/>
  </w:num>
  <w:num w:numId="5">
    <w:abstractNumId w:val="1"/>
  </w:num>
  <w:num w:numId="6">
    <w:abstractNumId w:val="2"/>
  </w:num>
  <w:num w:numId="7">
    <w:abstractNumId w:val="7"/>
  </w:num>
  <w:num w:numId="8">
    <w:abstractNumId w:val="4"/>
  </w:num>
  <w:num w:numId="9">
    <w:abstractNumId w:val="0"/>
  </w:num>
  <w:num w:numId="10">
    <w:abstractNumId w:val="12"/>
  </w:num>
  <w:num w:numId="11">
    <w:abstractNumId w:val="11"/>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A6"/>
    <w:rsid w:val="00003146"/>
    <w:rsid w:val="000045F6"/>
    <w:rsid w:val="00011F3A"/>
    <w:rsid w:val="000236AF"/>
    <w:rsid w:val="00033BDC"/>
    <w:rsid w:val="00060AA1"/>
    <w:rsid w:val="00070EC5"/>
    <w:rsid w:val="000762C1"/>
    <w:rsid w:val="0008510D"/>
    <w:rsid w:val="000A7C31"/>
    <w:rsid w:val="000B2221"/>
    <w:rsid w:val="000B4C43"/>
    <w:rsid w:val="000C14C4"/>
    <w:rsid w:val="000C1DB1"/>
    <w:rsid w:val="000C359F"/>
    <w:rsid w:val="000C5F7A"/>
    <w:rsid w:val="000C6C33"/>
    <w:rsid w:val="000C7E32"/>
    <w:rsid w:val="000D6545"/>
    <w:rsid w:val="000E42CD"/>
    <w:rsid w:val="000E4B3D"/>
    <w:rsid w:val="000E7904"/>
    <w:rsid w:val="000F5B32"/>
    <w:rsid w:val="000F6EED"/>
    <w:rsid w:val="00102832"/>
    <w:rsid w:val="00111BA7"/>
    <w:rsid w:val="001148CB"/>
    <w:rsid w:val="00116754"/>
    <w:rsid w:val="00124B28"/>
    <w:rsid w:val="00135D5B"/>
    <w:rsid w:val="00146DB9"/>
    <w:rsid w:val="00153A67"/>
    <w:rsid w:val="00154CAB"/>
    <w:rsid w:val="00155411"/>
    <w:rsid w:val="00156D71"/>
    <w:rsid w:val="0016444E"/>
    <w:rsid w:val="001714B2"/>
    <w:rsid w:val="00177531"/>
    <w:rsid w:val="001915E2"/>
    <w:rsid w:val="00197173"/>
    <w:rsid w:val="001A4A0F"/>
    <w:rsid w:val="001D69CE"/>
    <w:rsid w:val="001E536F"/>
    <w:rsid w:val="001E76F3"/>
    <w:rsid w:val="001F1110"/>
    <w:rsid w:val="001F4CA5"/>
    <w:rsid w:val="00200139"/>
    <w:rsid w:val="00211A5B"/>
    <w:rsid w:val="0021324E"/>
    <w:rsid w:val="00224C51"/>
    <w:rsid w:val="002338A3"/>
    <w:rsid w:val="00235DCA"/>
    <w:rsid w:val="00241345"/>
    <w:rsid w:val="00244C76"/>
    <w:rsid w:val="0024609A"/>
    <w:rsid w:val="0027252E"/>
    <w:rsid w:val="0029168E"/>
    <w:rsid w:val="00292D0E"/>
    <w:rsid w:val="00294170"/>
    <w:rsid w:val="002A6630"/>
    <w:rsid w:val="002B06C6"/>
    <w:rsid w:val="002B5439"/>
    <w:rsid w:val="002C26B3"/>
    <w:rsid w:val="002F5AEB"/>
    <w:rsid w:val="003130BE"/>
    <w:rsid w:val="00320451"/>
    <w:rsid w:val="00325762"/>
    <w:rsid w:val="00332E9A"/>
    <w:rsid w:val="00355A26"/>
    <w:rsid w:val="003651B1"/>
    <w:rsid w:val="003738A9"/>
    <w:rsid w:val="0038567A"/>
    <w:rsid w:val="003863B6"/>
    <w:rsid w:val="003900CC"/>
    <w:rsid w:val="00391F1F"/>
    <w:rsid w:val="003C0426"/>
    <w:rsid w:val="003C407F"/>
    <w:rsid w:val="003C5CA0"/>
    <w:rsid w:val="003D1FF7"/>
    <w:rsid w:val="003D629E"/>
    <w:rsid w:val="003E14BC"/>
    <w:rsid w:val="00401AAE"/>
    <w:rsid w:val="00404DA6"/>
    <w:rsid w:val="0042415E"/>
    <w:rsid w:val="004538C4"/>
    <w:rsid w:val="00467383"/>
    <w:rsid w:val="00475241"/>
    <w:rsid w:val="00476726"/>
    <w:rsid w:val="0048165B"/>
    <w:rsid w:val="00482E01"/>
    <w:rsid w:val="00487936"/>
    <w:rsid w:val="00495FBF"/>
    <w:rsid w:val="004A1931"/>
    <w:rsid w:val="004A2D77"/>
    <w:rsid w:val="004A4B33"/>
    <w:rsid w:val="004C20E2"/>
    <w:rsid w:val="004C240C"/>
    <w:rsid w:val="004C795E"/>
    <w:rsid w:val="004D1021"/>
    <w:rsid w:val="004D7960"/>
    <w:rsid w:val="004F17E9"/>
    <w:rsid w:val="004F43A3"/>
    <w:rsid w:val="0050477A"/>
    <w:rsid w:val="0050485F"/>
    <w:rsid w:val="005174BD"/>
    <w:rsid w:val="00521340"/>
    <w:rsid w:val="00524FE4"/>
    <w:rsid w:val="0052514B"/>
    <w:rsid w:val="005560CF"/>
    <w:rsid w:val="00562946"/>
    <w:rsid w:val="00576C21"/>
    <w:rsid w:val="00577314"/>
    <w:rsid w:val="00595FE2"/>
    <w:rsid w:val="0059692A"/>
    <w:rsid w:val="005A26A9"/>
    <w:rsid w:val="005C186E"/>
    <w:rsid w:val="005D29BE"/>
    <w:rsid w:val="005D5EC3"/>
    <w:rsid w:val="005E4DA0"/>
    <w:rsid w:val="005F6F1A"/>
    <w:rsid w:val="0060439E"/>
    <w:rsid w:val="00604FA5"/>
    <w:rsid w:val="006053C1"/>
    <w:rsid w:val="00610BB8"/>
    <w:rsid w:val="00616384"/>
    <w:rsid w:val="00624FEE"/>
    <w:rsid w:val="00632902"/>
    <w:rsid w:val="00634E21"/>
    <w:rsid w:val="00635A2C"/>
    <w:rsid w:val="00653C0A"/>
    <w:rsid w:val="00660F61"/>
    <w:rsid w:val="0066181D"/>
    <w:rsid w:val="00661A86"/>
    <w:rsid w:val="00665AC8"/>
    <w:rsid w:val="006765B4"/>
    <w:rsid w:val="006773FF"/>
    <w:rsid w:val="0068188C"/>
    <w:rsid w:val="00683118"/>
    <w:rsid w:val="00684F8B"/>
    <w:rsid w:val="00685912"/>
    <w:rsid w:val="00693AEF"/>
    <w:rsid w:val="00696D92"/>
    <w:rsid w:val="006A6AA6"/>
    <w:rsid w:val="006B1710"/>
    <w:rsid w:val="006C65AE"/>
    <w:rsid w:val="006D154C"/>
    <w:rsid w:val="006E55A9"/>
    <w:rsid w:val="006F59AC"/>
    <w:rsid w:val="00703B32"/>
    <w:rsid w:val="007075BA"/>
    <w:rsid w:val="00712C1C"/>
    <w:rsid w:val="00713A05"/>
    <w:rsid w:val="0072453B"/>
    <w:rsid w:val="007359E0"/>
    <w:rsid w:val="00735B45"/>
    <w:rsid w:val="00746069"/>
    <w:rsid w:val="007544F0"/>
    <w:rsid w:val="0075700C"/>
    <w:rsid w:val="00761092"/>
    <w:rsid w:val="007656AB"/>
    <w:rsid w:val="00765D47"/>
    <w:rsid w:val="00767A19"/>
    <w:rsid w:val="00776EF9"/>
    <w:rsid w:val="00777D88"/>
    <w:rsid w:val="007805DA"/>
    <w:rsid w:val="00790CBE"/>
    <w:rsid w:val="007947BB"/>
    <w:rsid w:val="007A277E"/>
    <w:rsid w:val="007A4339"/>
    <w:rsid w:val="007B2757"/>
    <w:rsid w:val="007B5339"/>
    <w:rsid w:val="007D40C3"/>
    <w:rsid w:val="007D4BA4"/>
    <w:rsid w:val="007D6C0E"/>
    <w:rsid w:val="007F57F4"/>
    <w:rsid w:val="00801EFD"/>
    <w:rsid w:val="00804CD7"/>
    <w:rsid w:val="00810CB7"/>
    <w:rsid w:val="008276C8"/>
    <w:rsid w:val="008278AD"/>
    <w:rsid w:val="0085112D"/>
    <w:rsid w:val="00852385"/>
    <w:rsid w:val="008541AD"/>
    <w:rsid w:val="00860F2B"/>
    <w:rsid w:val="008822A7"/>
    <w:rsid w:val="0088516F"/>
    <w:rsid w:val="008877CB"/>
    <w:rsid w:val="008B106E"/>
    <w:rsid w:val="008B14A3"/>
    <w:rsid w:val="008B479C"/>
    <w:rsid w:val="008C3B7C"/>
    <w:rsid w:val="008D33F2"/>
    <w:rsid w:val="008D34AC"/>
    <w:rsid w:val="008D77C9"/>
    <w:rsid w:val="008E0385"/>
    <w:rsid w:val="008E1AAE"/>
    <w:rsid w:val="008E57F6"/>
    <w:rsid w:val="008E5E6B"/>
    <w:rsid w:val="008E5F3A"/>
    <w:rsid w:val="009019B1"/>
    <w:rsid w:val="00901DF9"/>
    <w:rsid w:val="00903CCD"/>
    <w:rsid w:val="0091425C"/>
    <w:rsid w:val="00916B33"/>
    <w:rsid w:val="009207C2"/>
    <w:rsid w:val="00921FFA"/>
    <w:rsid w:val="0092539A"/>
    <w:rsid w:val="00925844"/>
    <w:rsid w:val="00925C6C"/>
    <w:rsid w:val="0092624F"/>
    <w:rsid w:val="009308C0"/>
    <w:rsid w:val="0093522D"/>
    <w:rsid w:val="0094645D"/>
    <w:rsid w:val="00960320"/>
    <w:rsid w:val="0097290B"/>
    <w:rsid w:val="00975C05"/>
    <w:rsid w:val="009866E2"/>
    <w:rsid w:val="0099160B"/>
    <w:rsid w:val="009B3909"/>
    <w:rsid w:val="009B5EEB"/>
    <w:rsid w:val="009C68AA"/>
    <w:rsid w:val="009D45C0"/>
    <w:rsid w:val="009D4F8F"/>
    <w:rsid w:val="009E2902"/>
    <w:rsid w:val="009E5E63"/>
    <w:rsid w:val="009F2F8A"/>
    <w:rsid w:val="009F541C"/>
    <w:rsid w:val="009F7927"/>
    <w:rsid w:val="00A01F20"/>
    <w:rsid w:val="00A023FA"/>
    <w:rsid w:val="00A031A9"/>
    <w:rsid w:val="00A031F7"/>
    <w:rsid w:val="00A0394D"/>
    <w:rsid w:val="00A0565F"/>
    <w:rsid w:val="00A1096D"/>
    <w:rsid w:val="00A14C8C"/>
    <w:rsid w:val="00A17A2F"/>
    <w:rsid w:val="00A22233"/>
    <w:rsid w:val="00A264F9"/>
    <w:rsid w:val="00A4092B"/>
    <w:rsid w:val="00A5112D"/>
    <w:rsid w:val="00A518C5"/>
    <w:rsid w:val="00A534BE"/>
    <w:rsid w:val="00A62E11"/>
    <w:rsid w:val="00A63718"/>
    <w:rsid w:val="00A64634"/>
    <w:rsid w:val="00A73AD8"/>
    <w:rsid w:val="00A753B6"/>
    <w:rsid w:val="00A76B47"/>
    <w:rsid w:val="00A9009F"/>
    <w:rsid w:val="00AA7CB8"/>
    <w:rsid w:val="00AB1716"/>
    <w:rsid w:val="00AC284A"/>
    <w:rsid w:val="00AC5E62"/>
    <w:rsid w:val="00AC6B5A"/>
    <w:rsid w:val="00AD007E"/>
    <w:rsid w:val="00AD52E6"/>
    <w:rsid w:val="00AD7F20"/>
    <w:rsid w:val="00AE3E0C"/>
    <w:rsid w:val="00AE419C"/>
    <w:rsid w:val="00AE4234"/>
    <w:rsid w:val="00AF302B"/>
    <w:rsid w:val="00B01F57"/>
    <w:rsid w:val="00B04A53"/>
    <w:rsid w:val="00B10100"/>
    <w:rsid w:val="00B24E27"/>
    <w:rsid w:val="00B36F4C"/>
    <w:rsid w:val="00B37202"/>
    <w:rsid w:val="00B4155D"/>
    <w:rsid w:val="00B43BA8"/>
    <w:rsid w:val="00B478F5"/>
    <w:rsid w:val="00B531B0"/>
    <w:rsid w:val="00B60F32"/>
    <w:rsid w:val="00B66D74"/>
    <w:rsid w:val="00B66FCC"/>
    <w:rsid w:val="00B706E9"/>
    <w:rsid w:val="00B75438"/>
    <w:rsid w:val="00B84CD3"/>
    <w:rsid w:val="00B84EAB"/>
    <w:rsid w:val="00B94832"/>
    <w:rsid w:val="00B96DE3"/>
    <w:rsid w:val="00BA4C14"/>
    <w:rsid w:val="00BA5B31"/>
    <w:rsid w:val="00BA6553"/>
    <w:rsid w:val="00BA65E0"/>
    <w:rsid w:val="00BC30C5"/>
    <w:rsid w:val="00BD1230"/>
    <w:rsid w:val="00BD4830"/>
    <w:rsid w:val="00BD701B"/>
    <w:rsid w:val="00BE3594"/>
    <w:rsid w:val="00BE52EF"/>
    <w:rsid w:val="00BF7447"/>
    <w:rsid w:val="00C04CC9"/>
    <w:rsid w:val="00C228F2"/>
    <w:rsid w:val="00C30C56"/>
    <w:rsid w:val="00C37DDB"/>
    <w:rsid w:val="00C4680A"/>
    <w:rsid w:val="00C508C6"/>
    <w:rsid w:val="00C55BC5"/>
    <w:rsid w:val="00C618DE"/>
    <w:rsid w:val="00C64746"/>
    <w:rsid w:val="00C7095C"/>
    <w:rsid w:val="00C70BAC"/>
    <w:rsid w:val="00C7707B"/>
    <w:rsid w:val="00C77E44"/>
    <w:rsid w:val="00C82359"/>
    <w:rsid w:val="00C91CB8"/>
    <w:rsid w:val="00C920D6"/>
    <w:rsid w:val="00C930D4"/>
    <w:rsid w:val="00CA5F37"/>
    <w:rsid w:val="00CC079E"/>
    <w:rsid w:val="00CC479A"/>
    <w:rsid w:val="00CC7017"/>
    <w:rsid w:val="00CC708E"/>
    <w:rsid w:val="00CC7953"/>
    <w:rsid w:val="00CC7D33"/>
    <w:rsid w:val="00CD3E40"/>
    <w:rsid w:val="00CD5D4A"/>
    <w:rsid w:val="00CF00FF"/>
    <w:rsid w:val="00D1076A"/>
    <w:rsid w:val="00D129A0"/>
    <w:rsid w:val="00D149FC"/>
    <w:rsid w:val="00D14FE1"/>
    <w:rsid w:val="00D22435"/>
    <w:rsid w:val="00D23475"/>
    <w:rsid w:val="00D2666E"/>
    <w:rsid w:val="00D356C3"/>
    <w:rsid w:val="00D45A66"/>
    <w:rsid w:val="00D62BCD"/>
    <w:rsid w:val="00D62C8A"/>
    <w:rsid w:val="00D74EA5"/>
    <w:rsid w:val="00D77E8A"/>
    <w:rsid w:val="00D81D24"/>
    <w:rsid w:val="00D83EAF"/>
    <w:rsid w:val="00D97E5A"/>
    <w:rsid w:val="00DA1138"/>
    <w:rsid w:val="00DA1756"/>
    <w:rsid w:val="00DB6910"/>
    <w:rsid w:val="00DC15C6"/>
    <w:rsid w:val="00DC58A6"/>
    <w:rsid w:val="00DC62C1"/>
    <w:rsid w:val="00DE1798"/>
    <w:rsid w:val="00DF3A51"/>
    <w:rsid w:val="00E20939"/>
    <w:rsid w:val="00E21033"/>
    <w:rsid w:val="00E218A9"/>
    <w:rsid w:val="00E2190F"/>
    <w:rsid w:val="00E244F0"/>
    <w:rsid w:val="00E334B2"/>
    <w:rsid w:val="00E37BA6"/>
    <w:rsid w:val="00E45391"/>
    <w:rsid w:val="00E4636D"/>
    <w:rsid w:val="00E5617E"/>
    <w:rsid w:val="00E62D01"/>
    <w:rsid w:val="00E71391"/>
    <w:rsid w:val="00E71E57"/>
    <w:rsid w:val="00E814E1"/>
    <w:rsid w:val="00E81794"/>
    <w:rsid w:val="00E91EE8"/>
    <w:rsid w:val="00E9234F"/>
    <w:rsid w:val="00E9680E"/>
    <w:rsid w:val="00E972A5"/>
    <w:rsid w:val="00EA163E"/>
    <w:rsid w:val="00EA2920"/>
    <w:rsid w:val="00EB3F12"/>
    <w:rsid w:val="00EC25E8"/>
    <w:rsid w:val="00EF6A11"/>
    <w:rsid w:val="00F00F8B"/>
    <w:rsid w:val="00F024B6"/>
    <w:rsid w:val="00F04761"/>
    <w:rsid w:val="00F049D0"/>
    <w:rsid w:val="00F10DD8"/>
    <w:rsid w:val="00F170A2"/>
    <w:rsid w:val="00F27A1C"/>
    <w:rsid w:val="00F50D75"/>
    <w:rsid w:val="00F514A9"/>
    <w:rsid w:val="00F53B6B"/>
    <w:rsid w:val="00F56E9F"/>
    <w:rsid w:val="00F64BBC"/>
    <w:rsid w:val="00F70B06"/>
    <w:rsid w:val="00F71F09"/>
    <w:rsid w:val="00F721AE"/>
    <w:rsid w:val="00F740FA"/>
    <w:rsid w:val="00F7736C"/>
    <w:rsid w:val="00F775EC"/>
    <w:rsid w:val="00F805E6"/>
    <w:rsid w:val="00F83C75"/>
    <w:rsid w:val="00F927CD"/>
    <w:rsid w:val="00F95796"/>
    <w:rsid w:val="00FA3BC0"/>
    <w:rsid w:val="00FA447B"/>
    <w:rsid w:val="00FA5B17"/>
    <w:rsid w:val="00FB69D9"/>
    <w:rsid w:val="00FC4C14"/>
    <w:rsid w:val="00FD45F2"/>
    <w:rsid w:val="00FE1F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DCCF"/>
  <w15:chartTrackingRefBased/>
  <w15:docId w15:val="{1F898E98-976C-7D49-A5EC-4F295DB4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7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6C6"/>
    <w:pPr>
      <w:ind w:left="720"/>
      <w:contextualSpacing/>
    </w:pPr>
  </w:style>
  <w:style w:type="character" w:styleId="CommentReference">
    <w:name w:val="annotation reference"/>
    <w:basedOn w:val="DefaultParagraphFont"/>
    <w:uiPriority w:val="99"/>
    <w:semiHidden/>
    <w:unhideWhenUsed/>
    <w:rsid w:val="0021324E"/>
    <w:rPr>
      <w:sz w:val="16"/>
      <w:szCs w:val="16"/>
    </w:rPr>
  </w:style>
  <w:style w:type="paragraph" w:styleId="CommentText">
    <w:name w:val="annotation text"/>
    <w:basedOn w:val="Normal"/>
    <w:link w:val="CommentTextChar"/>
    <w:uiPriority w:val="99"/>
    <w:semiHidden/>
    <w:unhideWhenUsed/>
    <w:rsid w:val="0021324E"/>
    <w:rPr>
      <w:sz w:val="20"/>
      <w:szCs w:val="20"/>
    </w:rPr>
  </w:style>
  <w:style w:type="character" w:customStyle="1" w:styleId="CommentTextChar">
    <w:name w:val="Comment Text Char"/>
    <w:basedOn w:val="DefaultParagraphFont"/>
    <w:link w:val="CommentText"/>
    <w:uiPriority w:val="99"/>
    <w:semiHidden/>
    <w:rsid w:val="0021324E"/>
    <w:rPr>
      <w:sz w:val="20"/>
      <w:szCs w:val="20"/>
    </w:rPr>
  </w:style>
  <w:style w:type="paragraph" w:styleId="CommentSubject">
    <w:name w:val="annotation subject"/>
    <w:basedOn w:val="CommentText"/>
    <w:next w:val="CommentText"/>
    <w:link w:val="CommentSubjectChar"/>
    <w:uiPriority w:val="99"/>
    <w:semiHidden/>
    <w:unhideWhenUsed/>
    <w:rsid w:val="0021324E"/>
    <w:rPr>
      <w:b/>
      <w:bCs/>
    </w:rPr>
  </w:style>
  <w:style w:type="character" w:customStyle="1" w:styleId="CommentSubjectChar">
    <w:name w:val="Comment Subject Char"/>
    <w:basedOn w:val="CommentTextChar"/>
    <w:link w:val="CommentSubject"/>
    <w:uiPriority w:val="99"/>
    <w:semiHidden/>
    <w:rsid w:val="0021324E"/>
    <w:rPr>
      <w:b/>
      <w:bCs/>
      <w:sz w:val="20"/>
      <w:szCs w:val="20"/>
    </w:rPr>
  </w:style>
  <w:style w:type="paragraph" w:styleId="FootnoteText">
    <w:name w:val="footnote text"/>
    <w:basedOn w:val="Normal"/>
    <w:link w:val="FootnoteTextChar"/>
    <w:uiPriority w:val="99"/>
    <w:semiHidden/>
    <w:unhideWhenUsed/>
    <w:rsid w:val="00D356C3"/>
    <w:rPr>
      <w:sz w:val="20"/>
      <w:szCs w:val="20"/>
    </w:rPr>
  </w:style>
  <w:style w:type="character" w:customStyle="1" w:styleId="FootnoteTextChar">
    <w:name w:val="Footnote Text Char"/>
    <w:basedOn w:val="DefaultParagraphFont"/>
    <w:link w:val="FootnoteText"/>
    <w:uiPriority w:val="99"/>
    <w:semiHidden/>
    <w:rsid w:val="00D356C3"/>
    <w:rPr>
      <w:sz w:val="20"/>
      <w:szCs w:val="20"/>
    </w:rPr>
  </w:style>
  <w:style w:type="character" w:styleId="FootnoteReference">
    <w:name w:val="footnote reference"/>
    <w:basedOn w:val="DefaultParagraphFont"/>
    <w:uiPriority w:val="99"/>
    <w:semiHidden/>
    <w:unhideWhenUsed/>
    <w:rsid w:val="00D356C3"/>
    <w:rPr>
      <w:vertAlign w:val="superscript"/>
    </w:rPr>
  </w:style>
  <w:style w:type="table" w:styleId="TableGrid">
    <w:name w:val="Table Grid"/>
    <w:basedOn w:val="TableNormal"/>
    <w:uiPriority w:val="39"/>
    <w:rsid w:val="006C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17E9"/>
    <w:pPr>
      <w:tabs>
        <w:tab w:val="center" w:pos="4680"/>
        <w:tab w:val="right" w:pos="9360"/>
      </w:tabs>
    </w:pPr>
  </w:style>
  <w:style w:type="character" w:customStyle="1" w:styleId="FooterChar">
    <w:name w:val="Footer Char"/>
    <w:basedOn w:val="DefaultParagraphFont"/>
    <w:link w:val="Footer"/>
    <w:uiPriority w:val="99"/>
    <w:rsid w:val="004F17E9"/>
  </w:style>
  <w:style w:type="character" w:styleId="PageNumber">
    <w:name w:val="page number"/>
    <w:basedOn w:val="DefaultParagraphFont"/>
    <w:uiPriority w:val="99"/>
    <w:semiHidden/>
    <w:unhideWhenUsed/>
    <w:rsid w:val="004F17E9"/>
  </w:style>
  <w:style w:type="paragraph" w:styleId="Header">
    <w:name w:val="header"/>
    <w:basedOn w:val="Normal"/>
    <w:link w:val="HeaderChar"/>
    <w:uiPriority w:val="99"/>
    <w:unhideWhenUsed/>
    <w:rsid w:val="005D29BE"/>
    <w:pPr>
      <w:tabs>
        <w:tab w:val="center" w:pos="4680"/>
        <w:tab w:val="right" w:pos="9360"/>
      </w:tabs>
    </w:pPr>
  </w:style>
  <w:style w:type="character" w:customStyle="1" w:styleId="HeaderChar">
    <w:name w:val="Header Char"/>
    <w:basedOn w:val="DefaultParagraphFont"/>
    <w:link w:val="Header"/>
    <w:uiPriority w:val="99"/>
    <w:rsid w:val="005D29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49">
      <w:bodyDiv w:val="1"/>
      <w:marLeft w:val="0"/>
      <w:marRight w:val="0"/>
      <w:marTop w:val="0"/>
      <w:marBottom w:val="0"/>
      <w:divBdr>
        <w:top w:val="none" w:sz="0" w:space="0" w:color="auto"/>
        <w:left w:val="none" w:sz="0" w:space="0" w:color="auto"/>
        <w:bottom w:val="none" w:sz="0" w:space="0" w:color="auto"/>
        <w:right w:val="none" w:sz="0" w:space="0" w:color="auto"/>
      </w:divBdr>
    </w:div>
    <w:div w:id="75176238">
      <w:bodyDiv w:val="1"/>
      <w:marLeft w:val="0"/>
      <w:marRight w:val="0"/>
      <w:marTop w:val="0"/>
      <w:marBottom w:val="0"/>
      <w:divBdr>
        <w:top w:val="none" w:sz="0" w:space="0" w:color="auto"/>
        <w:left w:val="none" w:sz="0" w:space="0" w:color="auto"/>
        <w:bottom w:val="none" w:sz="0" w:space="0" w:color="auto"/>
        <w:right w:val="none" w:sz="0" w:space="0" w:color="auto"/>
      </w:divBdr>
      <w:divsChild>
        <w:div w:id="2035883705">
          <w:marLeft w:val="0"/>
          <w:marRight w:val="0"/>
          <w:marTop w:val="0"/>
          <w:marBottom w:val="0"/>
          <w:divBdr>
            <w:top w:val="none" w:sz="0" w:space="0" w:color="auto"/>
            <w:left w:val="none" w:sz="0" w:space="0" w:color="auto"/>
            <w:bottom w:val="none" w:sz="0" w:space="0" w:color="auto"/>
            <w:right w:val="none" w:sz="0" w:space="0" w:color="auto"/>
          </w:divBdr>
        </w:div>
        <w:div w:id="836773845">
          <w:marLeft w:val="0"/>
          <w:marRight w:val="0"/>
          <w:marTop w:val="0"/>
          <w:marBottom w:val="0"/>
          <w:divBdr>
            <w:top w:val="none" w:sz="0" w:space="0" w:color="auto"/>
            <w:left w:val="none" w:sz="0" w:space="0" w:color="auto"/>
            <w:bottom w:val="none" w:sz="0" w:space="0" w:color="auto"/>
            <w:right w:val="none" w:sz="0" w:space="0" w:color="auto"/>
          </w:divBdr>
        </w:div>
        <w:div w:id="997223961">
          <w:marLeft w:val="0"/>
          <w:marRight w:val="0"/>
          <w:marTop w:val="0"/>
          <w:marBottom w:val="0"/>
          <w:divBdr>
            <w:top w:val="none" w:sz="0" w:space="0" w:color="auto"/>
            <w:left w:val="none" w:sz="0" w:space="0" w:color="auto"/>
            <w:bottom w:val="none" w:sz="0" w:space="0" w:color="auto"/>
            <w:right w:val="none" w:sz="0" w:space="0" w:color="auto"/>
          </w:divBdr>
        </w:div>
        <w:div w:id="1268389647">
          <w:marLeft w:val="0"/>
          <w:marRight w:val="0"/>
          <w:marTop w:val="0"/>
          <w:marBottom w:val="0"/>
          <w:divBdr>
            <w:top w:val="none" w:sz="0" w:space="0" w:color="auto"/>
            <w:left w:val="none" w:sz="0" w:space="0" w:color="auto"/>
            <w:bottom w:val="none" w:sz="0" w:space="0" w:color="auto"/>
            <w:right w:val="none" w:sz="0" w:space="0" w:color="auto"/>
          </w:divBdr>
        </w:div>
        <w:div w:id="1007102347">
          <w:marLeft w:val="0"/>
          <w:marRight w:val="0"/>
          <w:marTop w:val="0"/>
          <w:marBottom w:val="0"/>
          <w:divBdr>
            <w:top w:val="none" w:sz="0" w:space="0" w:color="auto"/>
            <w:left w:val="none" w:sz="0" w:space="0" w:color="auto"/>
            <w:bottom w:val="none" w:sz="0" w:space="0" w:color="auto"/>
            <w:right w:val="none" w:sz="0" w:space="0" w:color="auto"/>
          </w:divBdr>
        </w:div>
        <w:div w:id="1046762146">
          <w:marLeft w:val="0"/>
          <w:marRight w:val="0"/>
          <w:marTop w:val="0"/>
          <w:marBottom w:val="0"/>
          <w:divBdr>
            <w:top w:val="none" w:sz="0" w:space="0" w:color="auto"/>
            <w:left w:val="none" w:sz="0" w:space="0" w:color="auto"/>
            <w:bottom w:val="none" w:sz="0" w:space="0" w:color="auto"/>
            <w:right w:val="none" w:sz="0" w:space="0" w:color="auto"/>
          </w:divBdr>
        </w:div>
        <w:div w:id="857085478">
          <w:marLeft w:val="0"/>
          <w:marRight w:val="0"/>
          <w:marTop w:val="0"/>
          <w:marBottom w:val="0"/>
          <w:divBdr>
            <w:top w:val="none" w:sz="0" w:space="0" w:color="auto"/>
            <w:left w:val="none" w:sz="0" w:space="0" w:color="auto"/>
            <w:bottom w:val="none" w:sz="0" w:space="0" w:color="auto"/>
            <w:right w:val="none" w:sz="0" w:space="0" w:color="auto"/>
          </w:divBdr>
        </w:div>
        <w:div w:id="984352902">
          <w:marLeft w:val="0"/>
          <w:marRight w:val="0"/>
          <w:marTop w:val="0"/>
          <w:marBottom w:val="0"/>
          <w:divBdr>
            <w:top w:val="none" w:sz="0" w:space="0" w:color="auto"/>
            <w:left w:val="none" w:sz="0" w:space="0" w:color="auto"/>
            <w:bottom w:val="none" w:sz="0" w:space="0" w:color="auto"/>
            <w:right w:val="none" w:sz="0" w:space="0" w:color="auto"/>
          </w:divBdr>
        </w:div>
        <w:div w:id="1961373620">
          <w:marLeft w:val="0"/>
          <w:marRight w:val="0"/>
          <w:marTop w:val="0"/>
          <w:marBottom w:val="0"/>
          <w:divBdr>
            <w:top w:val="none" w:sz="0" w:space="0" w:color="auto"/>
            <w:left w:val="none" w:sz="0" w:space="0" w:color="auto"/>
            <w:bottom w:val="none" w:sz="0" w:space="0" w:color="auto"/>
            <w:right w:val="none" w:sz="0" w:space="0" w:color="auto"/>
          </w:divBdr>
        </w:div>
        <w:div w:id="815997741">
          <w:marLeft w:val="0"/>
          <w:marRight w:val="0"/>
          <w:marTop w:val="0"/>
          <w:marBottom w:val="0"/>
          <w:divBdr>
            <w:top w:val="none" w:sz="0" w:space="0" w:color="auto"/>
            <w:left w:val="none" w:sz="0" w:space="0" w:color="auto"/>
            <w:bottom w:val="none" w:sz="0" w:space="0" w:color="auto"/>
            <w:right w:val="none" w:sz="0" w:space="0" w:color="auto"/>
          </w:divBdr>
        </w:div>
      </w:divsChild>
    </w:div>
    <w:div w:id="76175733">
      <w:bodyDiv w:val="1"/>
      <w:marLeft w:val="0"/>
      <w:marRight w:val="0"/>
      <w:marTop w:val="0"/>
      <w:marBottom w:val="0"/>
      <w:divBdr>
        <w:top w:val="none" w:sz="0" w:space="0" w:color="auto"/>
        <w:left w:val="none" w:sz="0" w:space="0" w:color="auto"/>
        <w:bottom w:val="none" w:sz="0" w:space="0" w:color="auto"/>
        <w:right w:val="none" w:sz="0" w:space="0" w:color="auto"/>
      </w:divBdr>
    </w:div>
    <w:div w:id="121118283">
      <w:bodyDiv w:val="1"/>
      <w:marLeft w:val="0"/>
      <w:marRight w:val="0"/>
      <w:marTop w:val="0"/>
      <w:marBottom w:val="0"/>
      <w:divBdr>
        <w:top w:val="none" w:sz="0" w:space="0" w:color="auto"/>
        <w:left w:val="none" w:sz="0" w:space="0" w:color="auto"/>
        <w:bottom w:val="none" w:sz="0" w:space="0" w:color="auto"/>
        <w:right w:val="none" w:sz="0" w:space="0" w:color="auto"/>
      </w:divBdr>
    </w:div>
    <w:div w:id="204412133">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70598960">
      <w:bodyDiv w:val="1"/>
      <w:marLeft w:val="0"/>
      <w:marRight w:val="0"/>
      <w:marTop w:val="0"/>
      <w:marBottom w:val="0"/>
      <w:divBdr>
        <w:top w:val="none" w:sz="0" w:space="0" w:color="auto"/>
        <w:left w:val="none" w:sz="0" w:space="0" w:color="auto"/>
        <w:bottom w:val="none" w:sz="0" w:space="0" w:color="auto"/>
        <w:right w:val="none" w:sz="0" w:space="0" w:color="auto"/>
      </w:divBdr>
    </w:div>
    <w:div w:id="281809001">
      <w:bodyDiv w:val="1"/>
      <w:marLeft w:val="0"/>
      <w:marRight w:val="0"/>
      <w:marTop w:val="0"/>
      <w:marBottom w:val="0"/>
      <w:divBdr>
        <w:top w:val="none" w:sz="0" w:space="0" w:color="auto"/>
        <w:left w:val="none" w:sz="0" w:space="0" w:color="auto"/>
        <w:bottom w:val="none" w:sz="0" w:space="0" w:color="auto"/>
        <w:right w:val="none" w:sz="0" w:space="0" w:color="auto"/>
      </w:divBdr>
    </w:div>
    <w:div w:id="305626656">
      <w:bodyDiv w:val="1"/>
      <w:marLeft w:val="0"/>
      <w:marRight w:val="0"/>
      <w:marTop w:val="0"/>
      <w:marBottom w:val="0"/>
      <w:divBdr>
        <w:top w:val="none" w:sz="0" w:space="0" w:color="auto"/>
        <w:left w:val="none" w:sz="0" w:space="0" w:color="auto"/>
        <w:bottom w:val="none" w:sz="0" w:space="0" w:color="auto"/>
        <w:right w:val="none" w:sz="0" w:space="0" w:color="auto"/>
      </w:divBdr>
    </w:div>
    <w:div w:id="330253174">
      <w:bodyDiv w:val="1"/>
      <w:marLeft w:val="0"/>
      <w:marRight w:val="0"/>
      <w:marTop w:val="0"/>
      <w:marBottom w:val="0"/>
      <w:divBdr>
        <w:top w:val="none" w:sz="0" w:space="0" w:color="auto"/>
        <w:left w:val="none" w:sz="0" w:space="0" w:color="auto"/>
        <w:bottom w:val="none" w:sz="0" w:space="0" w:color="auto"/>
        <w:right w:val="none" w:sz="0" w:space="0" w:color="auto"/>
      </w:divBdr>
    </w:div>
    <w:div w:id="379983120">
      <w:bodyDiv w:val="1"/>
      <w:marLeft w:val="0"/>
      <w:marRight w:val="0"/>
      <w:marTop w:val="0"/>
      <w:marBottom w:val="0"/>
      <w:divBdr>
        <w:top w:val="none" w:sz="0" w:space="0" w:color="auto"/>
        <w:left w:val="none" w:sz="0" w:space="0" w:color="auto"/>
        <w:bottom w:val="none" w:sz="0" w:space="0" w:color="auto"/>
        <w:right w:val="none" w:sz="0" w:space="0" w:color="auto"/>
      </w:divBdr>
    </w:div>
    <w:div w:id="383451218">
      <w:bodyDiv w:val="1"/>
      <w:marLeft w:val="0"/>
      <w:marRight w:val="0"/>
      <w:marTop w:val="0"/>
      <w:marBottom w:val="0"/>
      <w:divBdr>
        <w:top w:val="none" w:sz="0" w:space="0" w:color="auto"/>
        <w:left w:val="none" w:sz="0" w:space="0" w:color="auto"/>
        <w:bottom w:val="none" w:sz="0" w:space="0" w:color="auto"/>
        <w:right w:val="none" w:sz="0" w:space="0" w:color="auto"/>
      </w:divBdr>
    </w:div>
    <w:div w:id="385876840">
      <w:bodyDiv w:val="1"/>
      <w:marLeft w:val="0"/>
      <w:marRight w:val="0"/>
      <w:marTop w:val="0"/>
      <w:marBottom w:val="0"/>
      <w:divBdr>
        <w:top w:val="none" w:sz="0" w:space="0" w:color="auto"/>
        <w:left w:val="none" w:sz="0" w:space="0" w:color="auto"/>
        <w:bottom w:val="none" w:sz="0" w:space="0" w:color="auto"/>
        <w:right w:val="none" w:sz="0" w:space="0" w:color="auto"/>
      </w:divBdr>
    </w:div>
    <w:div w:id="387648334">
      <w:bodyDiv w:val="1"/>
      <w:marLeft w:val="0"/>
      <w:marRight w:val="0"/>
      <w:marTop w:val="0"/>
      <w:marBottom w:val="0"/>
      <w:divBdr>
        <w:top w:val="none" w:sz="0" w:space="0" w:color="auto"/>
        <w:left w:val="none" w:sz="0" w:space="0" w:color="auto"/>
        <w:bottom w:val="none" w:sz="0" w:space="0" w:color="auto"/>
        <w:right w:val="none" w:sz="0" w:space="0" w:color="auto"/>
      </w:divBdr>
    </w:div>
    <w:div w:id="445271646">
      <w:bodyDiv w:val="1"/>
      <w:marLeft w:val="0"/>
      <w:marRight w:val="0"/>
      <w:marTop w:val="0"/>
      <w:marBottom w:val="0"/>
      <w:divBdr>
        <w:top w:val="none" w:sz="0" w:space="0" w:color="auto"/>
        <w:left w:val="none" w:sz="0" w:space="0" w:color="auto"/>
        <w:bottom w:val="none" w:sz="0" w:space="0" w:color="auto"/>
        <w:right w:val="none" w:sz="0" w:space="0" w:color="auto"/>
      </w:divBdr>
    </w:div>
    <w:div w:id="515267658">
      <w:bodyDiv w:val="1"/>
      <w:marLeft w:val="0"/>
      <w:marRight w:val="0"/>
      <w:marTop w:val="0"/>
      <w:marBottom w:val="0"/>
      <w:divBdr>
        <w:top w:val="none" w:sz="0" w:space="0" w:color="auto"/>
        <w:left w:val="none" w:sz="0" w:space="0" w:color="auto"/>
        <w:bottom w:val="none" w:sz="0" w:space="0" w:color="auto"/>
        <w:right w:val="none" w:sz="0" w:space="0" w:color="auto"/>
      </w:divBdr>
    </w:div>
    <w:div w:id="553128756">
      <w:bodyDiv w:val="1"/>
      <w:marLeft w:val="0"/>
      <w:marRight w:val="0"/>
      <w:marTop w:val="0"/>
      <w:marBottom w:val="0"/>
      <w:divBdr>
        <w:top w:val="none" w:sz="0" w:space="0" w:color="auto"/>
        <w:left w:val="none" w:sz="0" w:space="0" w:color="auto"/>
        <w:bottom w:val="none" w:sz="0" w:space="0" w:color="auto"/>
        <w:right w:val="none" w:sz="0" w:space="0" w:color="auto"/>
      </w:divBdr>
    </w:div>
    <w:div w:id="560600620">
      <w:bodyDiv w:val="1"/>
      <w:marLeft w:val="0"/>
      <w:marRight w:val="0"/>
      <w:marTop w:val="0"/>
      <w:marBottom w:val="0"/>
      <w:divBdr>
        <w:top w:val="none" w:sz="0" w:space="0" w:color="auto"/>
        <w:left w:val="none" w:sz="0" w:space="0" w:color="auto"/>
        <w:bottom w:val="none" w:sz="0" w:space="0" w:color="auto"/>
        <w:right w:val="none" w:sz="0" w:space="0" w:color="auto"/>
      </w:divBdr>
    </w:div>
    <w:div w:id="561908129">
      <w:bodyDiv w:val="1"/>
      <w:marLeft w:val="0"/>
      <w:marRight w:val="0"/>
      <w:marTop w:val="0"/>
      <w:marBottom w:val="0"/>
      <w:divBdr>
        <w:top w:val="none" w:sz="0" w:space="0" w:color="auto"/>
        <w:left w:val="none" w:sz="0" w:space="0" w:color="auto"/>
        <w:bottom w:val="none" w:sz="0" w:space="0" w:color="auto"/>
        <w:right w:val="none" w:sz="0" w:space="0" w:color="auto"/>
      </w:divBdr>
      <w:divsChild>
        <w:div w:id="1063404063">
          <w:marLeft w:val="0"/>
          <w:marRight w:val="0"/>
          <w:marTop w:val="0"/>
          <w:marBottom w:val="0"/>
          <w:divBdr>
            <w:top w:val="none" w:sz="0" w:space="0" w:color="auto"/>
            <w:left w:val="none" w:sz="0" w:space="0" w:color="auto"/>
            <w:bottom w:val="none" w:sz="0" w:space="0" w:color="auto"/>
            <w:right w:val="none" w:sz="0" w:space="0" w:color="auto"/>
          </w:divBdr>
        </w:div>
        <w:div w:id="1221600042">
          <w:marLeft w:val="0"/>
          <w:marRight w:val="0"/>
          <w:marTop w:val="0"/>
          <w:marBottom w:val="0"/>
          <w:divBdr>
            <w:top w:val="none" w:sz="0" w:space="0" w:color="auto"/>
            <w:left w:val="none" w:sz="0" w:space="0" w:color="auto"/>
            <w:bottom w:val="none" w:sz="0" w:space="0" w:color="auto"/>
            <w:right w:val="none" w:sz="0" w:space="0" w:color="auto"/>
          </w:divBdr>
        </w:div>
        <w:div w:id="558594920">
          <w:marLeft w:val="0"/>
          <w:marRight w:val="0"/>
          <w:marTop w:val="0"/>
          <w:marBottom w:val="0"/>
          <w:divBdr>
            <w:top w:val="none" w:sz="0" w:space="0" w:color="auto"/>
            <w:left w:val="none" w:sz="0" w:space="0" w:color="auto"/>
            <w:bottom w:val="none" w:sz="0" w:space="0" w:color="auto"/>
            <w:right w:val="none" w:sz="0" w:space="0" w:color="auto"/>
          </w:divBdr>
        </w:div>
        <w:div w:id="28573934">
          <w:marLeft w:val="0"/>
          <w:marRight w:val="0"/>
          <w:marTop w:val="0"/>
          <w:marBottom w:val="0"/>
          <w:divBdr>
            <w:top w:val="none" w:sz="0" w:space="0" w:color="auto"/>
            <w:left w:val="none" w:sz="0" w:space="0" w:color="auto"/>
            <w:bottom w:val="none" w:sz="0" w:space="0" w:color="auto"/>
            <w:right w:val="none" w:sz="0" w:space="0" w:color="auto"/>
          </w:divBdr>
        </w:div>
      </w:divsChild>
    </w:div>
    <w:div w:id="588924760">
      <w:bodyDiv w:val="1"/>
      <w:marLeft w:val="0"/>
      <w:marRight w:val="0"/>
      <w:marTop w:val="0"/>
      <w:marBottom w:val="0"/>
      <w:divBdr>
        <w:top w:val="none" w:sz="0" w:space="0" w:color="auto"/>
        <w:left w:val="none" w:sz="0" w:space="0" w:color="auto"/>
        <w:bottom w:val="none" w:sz="0" w:space="0" w:color="auto"/>
        <w:right w:val="none" w:sz="0" w:space="0" w:color="auto"/>
      </w:divBdr>
    </w:div>
    <w:div w:id="618031477">
      <w:bodyDiv w:val="1"/>
      <w:marLeft w:val="0"/>
      <w:marRight w:val="0"/>
      <w:marTop w:val="0"/>
      <w:marBottom w:val="0"/>
      <w:divBdr>
        <w:top w:val="none" w:sz="0" w:space="0" w:color="auto"/>
        <w:left w:val="none" w:sz="0" w:space="0" w:color="auto"/>
        <w:bottom w:val="none" w:sz="0" w:space="0" w:color="auto"/>
        <w:right w:val="none" w:sz="0" w:space="0" w:color="auto"/>
      </w:divBdr>
    </w:div>
    <w:div w:id="626470648">
      <w:bodyDiv w:val="1"/>
      <w:marLeft w:val="0"/>
      <w:marRight w:val="0"/>
      <w:marTop w:val="0"/>
      <w:marBottom w:val="0"/>
      <w:divBdr>
        <w:top w:val="none" w:sz="0" w:space="0" w:color="auto"/>
        <w:left w:val="none" w:sz="0" w:space="0" w:color="auto"/>
        <w:bottom w:val="none" w:sz="0" w:space="0" w:color="auto"/>
        <w:right w:val="none" w:sz="0" w:space="0" w:color="auto"/>
      </w:divBdr>
    </w:div>
    <w:div w:id="630552724">
      <w:bodyDiv w:val="1"/>
      <w:marLeft w:val="0"/>
      <w:marRight w:val="0"/>
      <w:marTop w:val="0"/>
      <w:marBottom w:val="0"/>
      <w:divBdr>
        <w:top w:val="none" w:sz="0" w:space="0" w:color="auto"/>
        <w:left w:val="none" w:sz="0" w:space="0" w:color="auto"/>
        <w:bottom w:val="none" w:sz="0" w:space="0" w:color="auto"/>
        <w:right w:val="none" w:sz="0" w:space="0" w:color="auto"/>
      </w:divBdr>
    </w:div>
    <w:div w:id="657001168">
      <w:bodyDiv w:val="1"/>
      <w:marLeft w:val="0"/>
      <w:marRight w:val="0"/>
      <w:marTop w:val="0"/>
      <w:marBottom w:val="0"/>
      <w:divBdr>
        <w:top w:val="none" w:sz="0" w:space="0" w:color="auto"/>
        <w:left w:val="none" w:sz="0" w:space="0" w:color="auto"/>
        <w:bottom w:val="none" w:sz="0" w:space="0" w:color="auto"/>
        <w:right w:val="none" w:sz="0" w:space="0" w:color="auto"/>
      </w:divBdr>
    </w:div>
    <w:div w:id="684669582">
      <w:bodyDiv w:val="1"/>
      <w:marLeft w:val="0"/>
      <w:marRight w:val="0"/>
      <w:marTop w:val="0"/>
      <w:marBottom w:val="0"/>
      <w:divBdr>
        <w:top w:val="none" w:sz="0" w:space="0" w:color="auto"/>
        <w:left w:val="none" w:sz="0" w:space="0" w:color="auto"/>
        <w:bottom w:val="none" w:sz="0" w:space="0" w:color="auto"/>
        <w:right w:val="none" w:sz="0" w:space="0" w:color="auto"/>
      </w:divBdr>
    </w:div>
    <w:div w:id="691876166">
      <w:bodyDiv w:val="1"/>
      <w:marLeft w:val="0"/>
      <w:marRight w:val="0"/>
      <w:marTop w:val="0"/>
      <w:marBottom w:val="0"/>
      <w:divBdr>
        <w:top w:val="none" w:sz="0" w:space="0" w:color="auto"/>
        <w:left w:val="none" w:sz="0" w:space="0" w:color="auto"/>
        <w:bottom w:val="none" w:sz="0" w:space="0" w:color="auto"/>
        <w:right w:val="none" w:sz="0" w:space="0" w:color="auto"/>
      </w:divBdr>
    </w:div>
    <w:div w:id="710030669">
      <w:bodyDiv w:val="1"/>
      <w:marLeft w:val="0"/>
      <w:marRight w:val="0"/>
      <w:marTop w:val="0"/>
      <w:marBottom w:val="0"/>
      <w:divBdr>
        <w:top w:val="none" w:sz="0" w:space="0" w:color="auto"/>
        <w:left w:val="none" w:sz="0" w:space="0" w:color="auto"/>
        <w:bottom w:val="none" w:sz="0" w:space="0" w:color="auto"/>
        <w:right w:val="none" w:sz="0" w:space="0" w:color="auto"/>
      </w:divBdr>
      <w:divsChild>
        <w:div w:id="1546217018">
          <w:marLeft w:val="0"/>
          <w:marRight w:val="0"/>
          <w:marTop w:val="0"/>
          <w:marBottom w:val="0"/>
          <w:divBdr>
            <w:top w:val="none" w:sz="0" w:space="0" w:color="auto"/>
            <w:left w:val="none" w:sz="0" w:space="0" w:color="auto"/>
            <w:bottom w:val="none" w:sz="0" w:space="0" w:color="auto"/>
            <w:right w:val="none" w:sz="0" w:space="0" w:color="auto"/>
          </w:divBdr>
        </w:div>
        <w:div w:id="1420447198">
          <w:marLeft w:val="0"/>
          <w:marRight w:val="0"/>
          <w:marTop w:val="0"/>
          <w:marBottom w:val="0"/>
          <w:divBdr>
            <w:top w:val="none" w:sz="0" w:space="0" w:color="auto"/>
            <w:left w:val="none" w:sz="0" w:space="0" w:color="auto"/>
            <w:bottom w:val="none" w:sz="0" w:space="0" w:color="auto"/>
            <w:right w:val="none" w:sz="0" w:space="0" w:color="auto"/>
          </w:divBdr>
        </w:div>
        <w:div w:id="1450205400">
          <w:marLeft w:val="0"/>
          <w:marRight w:val="0"/>
          <w:marTop w:val="0"/>
          <w:marBottom w:val="0"/>
          <w:divBdr>
            <w:top w:val="none" w:sz="0" w:space="0" w:color="auto"/>
            <w:left w:val="none" w:sz="0" w:space="0" w:color="auto"/>
            <w:bottom w:val="none" w:sz="0" w:space="0" w:color="auto"/>
            <w:right w:val="none" w:sz="0" w:space="0" w:color="auto"/>
          </w:divBdr>
        </w:div>
        <w:div w:id="1743139531">
          <w:marLeft w:val="0"/>
          <w:marRight w:val="0"/>
          <w:marTop w:val="0"/>
          <w:marBottom w:val="0"/>
          <w:divBdr>
            <w:top w:val="none" w:sz="0" w:space="0" w:color="auto"/>
            <w:left w:val="none" w:sz="0" w:space="0" w:color="auto"/>
            <w:bottom w:val="none" w:sz="0" w:space="0" w:color="auto"/>
            <w:right w:val="none" w:sz="0" w:space="0" w:color="auto"/>
          </w:divBdr>
        </w:div>
      </w:divsChild>
    </w:div>
    <w:div w:id="718668011">
      <w:bodyDiv w:val="1"/>
      <w:marLeft w:val="0"/>
      <w:marRight w:val="0"/>
      <w:marTop w:val="0"/>
      <w:marBottom w:val="0"/>
      <w:divBdr>
        <w:top w:val="none" w:sz="0" w:space="0" w:color="auto"/>
        <w:left w:val="none" w:sz="0" w:space="0" w:color="auto"/>
        <w:bottom w:val="none" w:sz="0" w:space="0" w:color="auto"/>
        <w:right w:val="none" w:sz="0" w:space="0" w:color="auto"/>
      </w:divBdr>
    </w:div>
    <w:div w:id="734549742">
      <w:bodyDiv w:val="1"/>
      <w:marLeft w:val="0"/>
      <w:marRight w:val="0"/>
      <w:marTop w:val="0"/>
      <w:marBottom w:val="0"/>
      <w:divBdr>
        <w:top w:val="none" w:sz="0" w:space="0" w:color="auto"/>
        <w:left w:val="none" w:sz="0" w:space="0" w:color="auto"/>
        <w:bottom w:val="none" w:sz="0" w:space="0" w:color="auto"/>
        <w:right w:val="none" w:sz="0" w:space="0" w:color="auto"/>
      </w:divBdr>
    </w:div>
    <w:div w:id="743262525">
      <w:bodyDiv w:val="1"/>
      <w:marLeft w:val="0"/>
      <w:marRight w:val="0"/>
      <w:marTop w:val="0"/>
      <w:marBottom w:val="0"/>
      <w:divBdr>
        <w:top w:val="none" w:sz="0" w:space="0" w:color="auto"/>
        <w:left w:val="none" w:sz="0" w:space="0" w:color="auto"/>
        <w:bottom w:val="none" w:sz="0" w:space="0" w:color="auto"/>
        <w:right w:val="none" w:sz="0" w:space="0" w:color="auto"/>
      </w:divBdr>
    </w:div>
    <w:div w:id="752162028">
      <w:bodyDiv w:val="1"/>
      <w:marLeft w:val="0"/>
      <w:marRight w:val="0"/>
      <w:marTop w:val="0"/>
      <w:marBottom w:val="0"/>
      <w:divBdr>
        <w:top w:val="none" w:sz="0" w:space="0" w:color="auto"/>
        <w:left w:val="none" w:sz="0" w:space="0" w:color="auto"/>
        <w:bottom w:val="none" w:sz="0" w:space="0" w:color="auto"/>
        <w:right w:val="none" w:sz="0" w:space="0" w:color="auto"/>
      </w:divBdr>
    </w:div>
    <w:div w:id="756554980">
      <w:bodyDiv w:val="1"/>
      <w:marLeft w:val="0"/>
      <w:marRight w:val="0"/>
      <w:marTop w:val="0"/>
      <w:marBottom w:val="0"/>
      <w:divBdr>
        <w:top w:val="none" w:sz="0" w:space="0" w:color="auto"/>
        <w:left w:val="none" w:sz="0" w:space="0" w:color="auto"/>
        <w:bottom w:val="none" w:sz="0" w:space="0" w:color="auto"/>
        <w:right w:val="none" w:sz="0" w:space="0" w:color="auto"/>
      </w:divBdr>
    </w:div>
    <w:div w:id="787284022">
      <w:bodyDiv w:val="1"/>
      <w:marLeft w:val="0"/>
      <w:marRight w:val="0"/>
      <w:marTop w:val="0"/>
      <w:marBottom w:val="0"/>
      <w:divBdr>
        <w:top w:val="none" w:sz="0" w:space="0" w:color="auto"/>
        <w:left w:val="none" w:sz="0" w:space="0" w:color="auto"/>
        <w:bottom w:val="none" w:sz="0" w:space="0" w:color="auto"/>
        <w:right w:val="none" w:sz="0" w:space="0" w:color="auto"/>
      </w:divBdr>
    </w:div>
    <w:div w:id="801385573">
      <w:bodyDiv w:val="1"/>
      <w:marLeft w:val="0"/>
      <w:marRight w:val="0"/>
      <w:marTop w:val="0"/>
      <w:marBottom w:val="0"/>
      <w:divBdr>
        <w:top w:val="none" w:sz="0" w:space="0" w:color="auto"/>
        <w:left w:val="none" w:sz="0" w:space="0" w:color="auto"/>
        <w:bottom w:val="none" w:sz="0" w:space="0" w:color="auto"/>
        <w:right w:val="none" w:sz="0" w:space="0" w:color="auto"/>
      </w:divBdr>
    </w:div>
    <w:div w:id="851186239">
      <w:bodyDiv w:val="1"/>
      <w:marLeft w:val="0"/>
      <w:marRight w:val="0"/>
      <w:marTop w:val="0"/>
      <w:marBottom w:val="0"/>
      <w:divBdr>
        <w:top w:val="none" w:sz="0" w:space="0" w:color="auto"/>
        <w:left w:val="none" w:sz="0" w:space="0" w:color="auto"/>
        <w:bottom w:val="none" w:sz="0" w:space="0" w:color="auto"/>
        <w:right w:val="none" w:sz="0" w:space="0" w:color="auto"/>
      </w:divBdr>
    </w:div>
    <w:div w:id="871844424">
      <w:bodyDiv w:val="1"/>
      <w:marLeft w:val="0"/>
      <w:marRight w:val="0"/>
      <w:marTop w:val="0"/>
      <w:marBottom w:val="0"/>
      <w:divBdr>
        <w:top w:val="none" w:sz="0" w:space="0" w:color="auto"/>
        <w:left w:val="none" w:sz="0" w:space="0" w:color="auto"/>
        <w:bottom w:val="none" w:sz="0" w:space="0" w:color="auto"/>
        <w:right w:val="none" w:sz="0" w:space="0" w:color="auto"/>
      </w:divBdr>
    </w:div>
    <w:div w:id="889724743">
      <w:bodyDiv w:val="1"/>
      <w:marLeft w:val="0"/>
      <w:marRight w:val="0"/>
      <w:marTop w:val="0"/>
      <w:marBottom w:val="0"/>
      <w:divBdr>
        <w:top w:val="none" w:sz="0" w:space="0" w:color="auto"/>
        <w:left w:val="none" w:sz="0" w:space="0" w:color="auto"/>
        <w:bottom w:val="none" w:sz="0" w:space="0" w:color="auto"/>
        <w:right w:val="none" w:sz="0" w:space="0" w:color="auto"/>
      </w:divBdr>
    </w:div>
    <w:div w:id="911081903">
      <w:bodyDiv w:val="1"/>
      <w:marLeft w:val="0"/>
      <w:marRight w:val="0"/>
      <w:marTop w:val="0"/>
      <w:marBottom w:val="0"/>
      <w:divBdr>
        <w:top w:val="none" w:sz="0" w:space="0" w:color="auto"/>
        <w:left w:val="none" w:sz="0" w:space="0" w:color="auto"/>
        <w:bottom w:val="none" w:sz="0" w:space="0" w:color="auto"/>
        <w:right w:val="none" w:sz="0" w:space="0" w:color="auto"/>
      </w:divBdr>
    </w:div>
    <w:div w:id="918519178">
      <w:bodyDiv w:val="1"/>
      <w:marLeft w:val="0"/>
      <w:marRight w:val="0"/>
      <w:marTop w:val="0"/>
      <w:marBottom w:val="0"/>
      <w:divBdr>
        <w:top w:val="none" w:sz="0" w:space="0" w:color="auto"/>
        <w:left w:val="none" w:sz="0" w:space="0" w:color="auto"/>
        <w:bottom w:val="none" w:sz="0" w:space="0" w:color="auto"/>
        <w:right w:val="none" w:sz="0" w:space="0" w:color="auto"/>
      </w:divBdr>
    </w:div>
    <w:div w:id="919101021">
      <w:bodyDiv w:val="1"/>
      <w:marLeft w:val="0"/>
      <w:marRight w:val="0"/>
      <w:marTop w:val="0"/>
      <w:marBottom w:val="0"/>
      <w:divBdr>
        <w:top w:val="none" w:sz="0" w:space="0" w:color="auto"/>
        <w:left w:val="none" w:sz="0" w:space="0" w:color="auto"/>
        <w:bottom w:val="none" w:sz="0" w:space="0" w:color="auto"/>
        <w:right w:val="none" w:sz="0" w:space="0" w:color="auto"/>
      </w:divBdr>
    </w:div>
    <w:div w:id="956065521">
      <w:bodyDiv w:val="1"/>
      <w:marLeft w:val="0"/>
      <w:marRight w:val="0"/>
      <w:marTop w:val="0"/>
      <w:marBottom w:val="0"/>
      <w:divBdr>
        <w:top w:val="none" w:sz="0" w:space="0" w:color="auto"/>
        <w:left w:val="none" w:sz="0" w:space="0" w:color="auto"/>
        <w:bottom w:val="none" w:sz="0" w:space="0" w:color="auto"/>
        <w:right w:val="none" w:sz="0" w:space="0" w:color="auto"/>
      </w:divBdr>
    </w:div>
    <w:div w:id="959728122">
      <w:bodyDiv w:val="1"/>
      <w:marLeft w:val="0"/>
      <w:marRight w:val="0"/>
      <w:marTop w:val="0"/>
      <w:marBottom w:val="0"/>
      <w:divBdr>
        <w:top w:val="none" w:sz="0" w:space="0" w:color="auto"/>
        <w:left w:val="none" w:sz="0" w:space="0" w:color="auto"/>
        <w:bottom w:val="none" w:sz="0" w:space="0" w:color="auto"/>
        <w:right w:val="none" w:sz="0" w:space="0" w:color="auto"/>
      </w:divBdr>
    </w:div>
    <w:div w:id="966162551">
      <w:bodyDiv w:val="1"/>
      <w:marLeft w:val="0"/>
      <w:marRight w:val="0"/>
      <w:marTop w:val="0"/>
      <w:marBottom w:val="0"/>
      <w:divBdr>
        <w:top w:val="none" w:sz="0" w:space="0" w:color="auto"/>
        <w:left w:val="none" w:sz="0" w:space="0" w:color="auto"/>
        <w:bottom w:val="none" w:sz="0" w:space="0" w:color="auto"/>
        <w:right w:val="none" w:sz="0" w:space="0" w:color="auto"/>
      </w:divBdr>
    </w:div>
    <w:div w:id="1014456714">
      <w:bodyDiv w:val="1"/>
      <w:marLeft w:val="0"/>
      <w:marRight w:val="0"/>
      <w:marTop w:val="0"/>
      <w:marBottom w:val="0"/>
      <w:divBdr>
        <w:top w:val="none" w:sz="0" w:space="0" w:color="auto"/>
        <w:left w:val="none" w:sz="0" w:space="0" w:color="auto"/>
        <w:bottom w:val="none" w:sz="0" w:space="0" w:color="auto"/>
        <w:right w:val="none" w:sz="0" w:space="0" w:color="auto"/>
      </w:divBdr>
    </w:div>
    <w:div w:id="1016612705">
      <w:bodyDiv w:val="1"/>
      <w:marLeft w:val="0"/>
      <w:marRight w:val="0"/>
      <w:marTop w:val="0"/>
      <w:marBottom w:val="0"/>
      <w:divBdr>
        <w:top w:val="none" w:sz="0" w:space="0" w:color="auto"/>
        <w:left w:val="none" w:sz="0" w:space="0" w:color="auto"/>
        <w:bottom w:val="none" w:sz="0" w:space="0" w:color="auto"/>
        <w:right w:val="none" w:sz="0" w:space="0" w:color="auto"/>
      </w:divBdr>
    </w:div>
    <w:div w:id="1056781134">
      <w:bodyDiv w:val="1"/>
      <w:marLeft w:val="0"/>
      <w:marRight w:val="0"/>
      <w:marTop w:val="0"/>
      <w:marBottom w:val="0"/>
      <w:divBdr>
        <w:top w:val="none" w:sz="0" w:space="0" w:color="auto"/>
        <w:left w:val="none" w:sz="0" w:space="0" w:color="auto"/>
        <w:bottom w:val="none" w:sz="0" w:space="0" w:color="auto"/>
        <w:right w:val="none" w:sz="0" w:space="0" w:color="auto"/>
      </w:divBdr>
    </w:div>
    <w:div w:id="1074742295">
      <w:bodyDiv w:val="1"/>
      <w:marLeft w:val="0"/>
      <w:marRight w:val="0"/>
      <w:marTop w:val="0"/>
      <w:marBottom w:val="0"/>
      <w:divBdr>
        <w:top w:val="none" w:sz="0" w:space="0" w:color="auto"/>
        <w:left w:val="none" w:sz="0" w:space="0" w:color="auto"/>
        <w:bottom w:val="none" w:sz="0" w:space="0" w:color="auto"/>
        <w:right w:val="none" w:sz="0" w:space="0" w:color="auto"/>
      </w:divBdr>
    </w:div>
    <w:div w:id="1100488796">
      <w:bodyDiv w:val="1"/>
      <w:marLeft w:val="0"/>
      <w:marRight w:val="0"/>
      <w:marTop w:val="0"/>
      <w:marBottom w:val="0"/>
      <w:divBdr>
        <w:top w:val="none" w:sz="0" w:space="0" w:color="auto"/>
        <w:left w:val="none" w:sz="0" w:space="0" w:color="auto"/>
        <w:bottom w:val="none" w:sz="0" w:space="0" w:color="auto"/>
        <w:right w:val="none" w:sz="0" w:space="0" w:color="auto"/>
      </w:divBdr>
    </w:div>
    <w:div w:id="1155072339">
      <w:bodyDiv w:val="1"/>
      <w:marLeft w:val="0"/>
      <w:marRight w:val="0"/>
      <w:marTop w:val="0"/>
      <w:marBottom w:val="0"/>
      <w:divBdr>
        <w:top w:val="none" w:sz="0" w:space="0" w:color="auto"/>
        <w:left w:val="none" w:sz="0" w:space="0" w:color="auto"/>
        <w:bottom w:val="none" w:sz="0" w:space="0" w:color="auto"/>
        <w:right w:val="none" w:sz="0" w:space="0" w:color="auto"/>
      </w:divBdr>
    </w:div>
    <w:div w:id="1196112500">
      <w:bodyDiv w:val="1"/>
      <w:marLeft w:val="0"/>
      <w:marRight w:val="0"/>
      <w:marTop w:val="0"/>
      <w:marBottom w:val="0"/>
      <w:divBdr>
        <w:top w:val="none" w:sz="0" w:space="0" w:color="auto"/>
        <w:left w:val="none" w:sz="0" w:space="0" w:color="auto"/>
        <w:bottom w:val="none" w:sz="0" w:space="0" w:color="auto"/>
        <w:right w:val="none" w:sz="0" w:space="0" w:color="auto"/>
      </w:divBdr>
    </w:div>
    <w:div w:id="1226452345">
      <w:bodyDiv w:val="1"/>
      <w:marLeft w:val="0"/>
      <w:marRight w:val="0"/>
      <w:marTop w:val="0"/>
      <w:marBottom w:val="0"/>
      <w:divBdr>
        <w:top w:val="none" w:sz="0" w:space="0" w:color="auto"/>
        <w:left w:val="none" w:sz="0" w:space="0" w:color="auto"/>
        <w:bottom w:val="none" w:sz="0" w:space="0" w:color="auto"/>
        <w:right w:val="none" w:sz="0" w:space="0" w:color="auto"/>
      </w:divBdr>
    </w:div>
    <w:div w:id="1269316126">
      <w:bodyDiv w:val="1"/>
      <w:marLeft w:val="0"/>
      <w:marRight w:val="0"/>
      <w:marTop w:val="0"/>
      <w:marBottom w:val="0"/>
      <w:divBdr>
        <w:top w:val="none" w:sz="0" w:space="0" w:color="auto"/>
        <w:left w:val="none" w:sz="0" w:space="0" w:color="auto"/>
        <w:bottom w:val="none" w:sz="0" w:space="0" w:color="auto"/>
        <w:right w:val="none" w:sz="0" w:space="0" w:color="auto"/>
      </w:divBdr>
    </w:div>
    <w:div w:id="1309749854">
      <w:bodyDiv w:val="1"/>
      <w:marLeft w:val="0"/>
      <w:marRight w:val="0"/>
      <w:marTop w:val="0"/>
      <w:marBottom w:val="0"/>
      <w:divBdr>
        <w:top w:val="none" w:sz="0" w:space="0" w:color="auto"/>
        <w:left w:val="none" w:sz="0" w:space="0" w:color="auto"/>
        <w:bottom w:val="none" w:sz="0" w:space="0" w:color="auto"/>
        <w:right w:val="none" w:sz="0" w:space="0" w:color="auto"/>
      </w:divBdr>
    </w:div>
    <w:div w:id="1312832623">
      <w:bodyDiv w:val="1"/>
      <w:marLeft w:val="0"/>
      <w:marRight w:val="0"/>
      <w:marTop w:val="0"/>
      <w:marBottom w:val="0"/>
      <w:divBdr>
        <w:top w:val="none" w:sz="0" w:space="0" w:color="auto"/>
        <w:left w:val="none" w:sz="0" w:space="0" w:color="auto"/>
        <w:bottom w:val="none" w:sz="0" w:space="0" w:color="auto"/>
        <w:right w:val="none" w:sz="0" w:space="0" w:color="auto"/>
      </w:divBdr>
    </w:div>
    <w:div w:id="1343120519">
      <w:bodyDiv w:val="1"/>
      <w:marLeft w:val="0"/>
      <w:marRight w:val="0"/>
      <w:marTop w:val="0"/>
      <w:marBottom w:val="0"/>
      <w:divBdr>
        <w:top w:val="none" w:sz="0" w:space="0" w:color="auto"/>
        <w:left w:val="none" w:sz="0" w:space="0" w:color="auto"/>
        <w:bottom w:val="none" w:sz="0" w:space="0" w:color="auto"/>
        <w:right w:val="none" w:sz="0" w:space="0" w:color="auto"/>
      </w:divBdr>
    </w:div>
    <w:div w:id="1344743893">
      <w:bodyDiv w:val="1"/>
      <w:marLeft w:val="0"/>
      <w:marRight w:val="0"/>
      <w:marTop w:val="0"/>
      <w:marBottom w:val="0"/>
      <w:divBdr>
        <w:top w:val="none" w:sz="0" w:space="0" w:color="auto"/>
        <w:left w:val="none" w:sz="0" w:space="0" w:color="auto"/>
        <w:bottom w:val="none" w:sz="0" w:space="0" w:color="auto"/>
        <w:right w:val="none" w:sz="0" w:space="0" w:color="auto"/>
      </w:divBdr>
    </w:div>
    <w:div w:id="1416171446">
      <w:bodyDiv w:val="1"/>
      <w:marLeft w:val="0"/>
      <w:marRight w:val="0"/>
      <w:marTop w:val="0"/>
      <w:marBottom w:val="0"/>
      <w:divBdr>
        <w:top w:val="none" w:sz="0" w:space="0" w:color="auto"/>
        <w:left w:val="none" w:sz="0" w:space="0" w:color="auto"/>
        <w:bottom w:val="none" w:sz="0" w:space="0" w:color="auto"/>
        <w:right w:val="none" w:sz="0" w:space="0" w:color="auto"/>
      </w:divBdr>
    </w:div>
    <w:div w:id="1423643921">
      <w:bodyDiv w:val="1"/>
      <w:marLeft w:val="0"/>
      <w:marRight w:val="0"/>
      <w:marTop w:val="0"/>
      <w:marBottom w:val="0"/>
      <w:divBdr>
        <w:top w:val="none" w:sz="0" w:space="0" w:color="auto"/>
        <w:left w:val="none" w:sz="0" w:space="0" w:color="auto"/>
        <w:bottom w:val="none" w:sz="0" w:space="0" w:color="auto"/>
        <w:right w:val="none" w:sz="0" w:space="0" w:color="auto"/>
      </w:divBdr>
    </w:div>
    <w:div w:id="1435513962">
      <w:bodyDiv w:val="1"/>
      <w:marLeft w:val="0"/>
      <w:marRight w:val="0"/>
      <w:marTop w:val="0"/>
      <w:marBottom w:val="0"/>
      <w:divBdr>
        <w:top w:val="none" w:sz="0" w:space="0" w:color="auto"/>
        <w:left w:val="none" w:sz="0" w:space="0" w:color="auto"/>
        <w:bottom w:val="none" w:sz="0" w:space="0" w:color="auto"/>
        <w:right w:val="none" w:sz="0" w:space="0" w:color="auto"/>
      </w:divBdr>
    </w:div>
    <w:div w:id="1457992207">
      <w:bodyDiv w:val="1"/>
      <w:marLeft w:val="0"/>
      <w:marRight w:val="0"/>
      <w:marTop w:val="0"/>
      <w:marBottom w:val="0"/>
      <w:divBdr>
        <w:top w:val="none" w:sz="0" w:space="0" w:color="auto"/>
        <w:left w:val="none" w:sz="0" w:space="0" w:color="auto"/>
        <w:bottom w:val="none" w:sz="0" w:space="0" w:color="auto"/>
        <w:right w:val="none" w:sz="0" w:space="0" w:color="auto"/>
      </w:divBdr>
    </w:div>
    <w:div w:id="1466463330">
      <w:bodyDiv w:val="1"/>
      <w:marLeft w:val="0"/>
      <w:marRight w:val="0"/>
      <w:marTop w:val="0"/>
      <w:marBottom w:val="0"/>
      <w:divBdr>
        <w:top w:val="none" w:sz="0" w:space="0" w:color="auto"/>
        <w:left w:val="none" w:sz="0" w:space="0" w:color="auto"/>
        <w:bottom w:val="none" w:sz="0" w:space="0" w:color="auto"/>
        <w:right w:val="none" w:sz="0" w:space="0" w:color="auto"/>
      </w:divBdr>
    </w:div>
    <w:div w:id="1474172709">
      <w:bodyDiv w:val="1"/>
      <w:marLeft w:val="0"/>
      <w:marRight w:val="0"/>
      <w:marTop w:val="0"/>
      <w:marBottom w:val="0"/>
      <w:divBdr>
        <w:top w:val="none" w:sz="0" w:space="0" w:color="auto"/>
        <w:left w:val="none" w:sz="0" w:space="0" w:color="auto"/>
        <w:bottom w:val="none" w:sz="0" w:space="0" w:color="auto"/>
        <w:right w:val="none" w:sz="0" w:space="0" w:color="auto"/>
      </w:divBdr>
    </w:div>
    <w:div w:id="1505048195">
      <w:bodyDiv w:val="1"/>
      <w:marLeft w:val="0"/>
      <w:marRight w:val="0"/>
      <w:marTop w:val="0"/>
      <w:marBottom w:val="0"/>
      <w:divBdr>
        <w:top w:val="none" w:sz="0" w:space="0" w:color="auto"/>
        <w:left w:val="none" w:sz="0" w:space="0" w:color="auto"/>
        <w:bottom w:val="none" w:sz="0" w:space="0" w:color="auto"/>
        <w:right w:val="none" w:sz="0" w:space="0" w:color="auto"/>
      </w:divBdr>
    </w:div>
    <w:div w:id="1515458826">
      <w:bodyDiv w:val="1"/>
      <w:marLeft w:val="0"/>
      <w:marRight w:val="0"/>
      <w:marTop w:val="0"/>
      <w:marBottom w:val="0"/>
      <w:divBdr>
        <w:top w:val="none" w:sz="0" w:space="0" w:color="auto"/>
        <w:left w:val="none" w:sz="0" w:space="0" w:color="auto"/>
        <w:bottom w:val="none" w:sz="0" w:space="0" w:color="auto"/>
        <w:right w:val="none" w:sz="0" w:space="0" w:color="auto"/>
      </w:divBdr>
      <w:divsChild>
        <w:div w:id="105007113">
          <w:marLeft w:val="0"/>
          <w:marRight w:val="0"/>
          <w:marTop w:val="0"/>
          <w:marBottom w:val="0"/>
          <w:divBdr>
            <w:top w:val="none" w:sz="0" w:space="0" w:color="auto"/>
            <w:left w:val="none" w:sz="0" w:space="0" w:color="auto"/>
            <w:bottom w:val="none" w:sz="0" w:space="0" w:color="auto"/>
            <w:right w:val="none" w:sz="0" w:space="0" w:color="auto"/>
          </w:divBdr>
        </w:div>
        <w:div w:id="521627319">
          <w:marLeft w:val="0"/>
          <w:marRight w:val="0"/>
          <w:marTop w:val="0"/>
          <w:marBottom w:val="0"/>
          <w:divBdr>
            <w:top w:val="none" w:sz="0" w:space="0" w:color="auto"/>
            <w:left w:val="none" w:sz="0" w:space="0" w:color="auto"/>
            <w:bottom w:val="none" w:sz="0" w:space="0" w:color="auto"/>
            <w:right w:val="none" w:sz="0" w:space="0" w:color="auto"/>
          </w:divBdr>
        </w:div>
        <w:div w:id="765689294">
          <w:marLeft w:val="0"/>
          <w:marRight w:val="0"/>
          <w:marTop w:val="0"/>
          <w:marBottom w:val="0"/>
          <w:divBdr>
            <w:top w:val="none" w:sz="0" w:space="0" w:color="auto"/>
            <w:left w:val="none" w:sz="0" w:space="0" w:color="auto"/>
            <w:bottom w:val="none" w:sz="0" w:space="0" w:color="auto"/>
            <w:right w:val="none" w:sz="0" w:space="0" w:color="auto"/>
          </w:divBdr>
        </w:div>
        <w:div w:id="2117017949">
          <w:marLeft w:val="0"/>
          <w:marRight w:val="0"/>
          <w:marTop w:val="0"/>
          <w:marBottom w:val="0"/>
          <w:divBdr>
            <w:top w:val="none" w:sz="0" w:space="0" w:color="auto"/>
            <w:left w:val="none" w:sz="0" w:space="0" w:color="auto"/>
            <w:bottom w:val="none" w:sz="0" w:space="0" w:color="auto"/>
            <w:right w:val="none" w:sz="0" w:space="0" w:color="auto"/>
          </w:divBdr>
        </w:div>
        <w:div w:id="268316134">
          <w:marLeft w:val="0"/>
          <w:marRight w:val="0"/>
          <w:marTop w:val="0"/>
          <w:marBottom w:val="0"/>
          <w:divBdr>
            <w:top w:val="none" w:sz="0" w:space="0" w:color="auto"/>
            <w:left w:val="none" w:sz="0" w:space="0" w:color="auto"/>
            <w:bottom w:val="none" w:sz="0" w:space="0" w:color="auto"/>
            <w:right w:val="none" w:sz="0" w:space="0" w:color="auto"/>
          </w:divBdr>
        </w:div>
        <w:div w:id="1987973792">
          <w:marLeft w:val="0"/>
          <w:marRight w:val="0"/>
          <w:marTop w:val="0"/>
          <w:marBottom w:val="0"/>
          <w:divBdr>
            <w:top w:val="none" w:sz="0" w:space="0" w:color="auto"/>
            <w:left w:val="none" w:sz="0" w:space="0" w:color="auto"/>
            <w:bottom w:val="none" w:sz="0" w:space="0" w:color="auto"/>
            <w:right w:val="none" w:sz="0" w:space="0" w:color="auto"/>
          </w:divBdr>
        </w:div>
        <w:div w:id="364333062">
          <w:marLeft w:val="0"/>
          <w:marRight w:val="0"/>
          <w:marTop w:val="0"/>
          <w:marBottom w:val="0"/>
          <w:divBdr>
            <w:top w:val="none" w:sz="0" w:space="0" w:color="auto"/>
            <w:left w:val="none" w:sz="0" w:space="0" w:color="auto"/>
            <w:bottom w:val="none" w:sz="0" w:space="0" w:color="auto"/>
            <w:right w:val="none" w:sz="0" w:space="0" w:color="auto"/>
          </w:divBdr>
        </w:div>
        <w:div w:id="728187651">
          <w:marLeft w:val="0"/>
          <w:marRight w:val="0"/>
          <w:marTop w:val="0"/>
          <w:marBottom w:val="0"/>
          <w:divBdr>
            <w:top w:val="none" w:sz="0" w:space="0" w:color="auto"/>
            <w:left w:val="none" w:sz="0" w:space="0" w:color="auto"/>
            <w:bottom w:val="none" w:sz="0" w:space="0" w:color="auto"/>
            <w:right w:val="none" w:sz="0" w:space="0" w:color="auto"/>
          </w:divBdr>
        </w:div>
        <w:div w:id="1735617547">
          <w:marLeft w:val="0"/>
          <w:marRight w:val="0"/>
          <w:marTop w:val="0"/>
          <w:marBottom w:val="0"/>
          <w:divBdr>
            <w:top w:val="none" w:sz="0" w:space="0" w:color="auto"/>
            <w:left w:val="none" w:sz="0" w:space="0" w:color="auto"/>
            <w:bottom w:val="none" w:sz="0" w:space="0" w:color="auto"/>
            <w:right w:val="none" w:sz="0" w:space="0" w:color="auto"/>
          </w:divBdr>
        </w:div>
        <w:div w:id="368990009">
          <w:marLeft w:val="0"/>
          <w:marRight w:val="0"/>
          <w:marTop w:val="0"/>
          <w:marBottom w:val="0"/>
          <w:divBdr>
            <w:top w:val="none" w:sz="0" w:space="0" w:color="auto"/>
            <w:left w:val="none" w:sz="0" w:space="0" w:color="auto"/>
            <w:bottom w:val="none" w:sz="0" w:space="0" w:color="auto"/>
            <w:right w:val="none" w:sz="0" w:space="0" w:color="auto"/>
          </w:divBdr>
        </w:div>
      </w:divsChild>
    </w:div>
    <w:div w:id="1538857812">
      <w:bodyDiv w:val="1"/>
      <w:marLeft w:val="0"/>
      <w:marRight w:val="0"/>
      <w:marTop w:val="0"/>
      <w:marBottom w:val="0"/>
      <w:divBdr>
        <w:top w:val="none" w:sz="0" w:space="0" w:color="auto"/>
        <w:left w:val="none" w:sz="0" w:space="0" w:color="auto"/>
        <w:bottom w:val="none" w:sz="0" w:space="0" w:color="auto"/>
        <w:right w:val="none" w:sz="0" w:space="0" w:color="auto"/>
      </w:divBdr>
    </w:div>
    <w:div w:id="1578779646">
      <w:bodyDiv w:val="1"/>
      <w:marLeft w:val="0"/>
      <w:marRight w:val="0"/>
      <w:marTop w:val="0"/>
      <w:marBottom w:val="0"/>
      <w:divBdr>
        <w:top w:val="none" w:sz="0" w:space="0" w:color="auto"/>
        <w:left w:val="none" w:sz="0" w:space="0" w:color="auto"/>
        <w:bottom w:val="none" w:sz="0" w:space="0" w:color="auto"/>
        <w:right w:val="none" w:sz="0" w:space="0" w:color="auto"/>
      </w:divBdr>
    </w:div>
    <w:div w:id="1629240985">
      <w:bodyDiv w:val="1"/>
      <w:marLeft w:val="0"/>
      <w:marRight w:val="0"/>
      <w:marTop w:val="0"/>
      <w:marBottom w:val="0"/>
      <w:divBdr>
        <w:top w:val="none" w:sz="0" w:space="0" w:color="auto"/>
        <w:left w:val="none" w:sz="0" w:space="0" w:color="auto"/>
        <w:bottom w:val="none" w:sz="0" w:space="0" w:color="auto"/>
        <w:right w:val="none" w:sz="0" w:space="0" w:color="auto"/>
      </w:divBdr>
    </w:div>
    <w:div w:id="1637879351">
      <w:bodyDiv w:val="1"/>
      <w:marLeft w:val="0"/>
      <w:marRight w:val="0"/>
      <w:marTop w:val="0"/>
      <w:marBottom w:val="0"/>
      <w:divBdr>
        <w:top w:val="none" w:sz="0" w:space="0" w:color="auto"/>
        <w:left w:val="none" w:sz="0" w:space="0" w:color="auto"/>
        <w:bottom w:val="none" w:sz="0" w:space="0" w:color="auto"/>
        <w:right w:val="none" w:sz="0" w:space="0" w:color="auto"/>
      </w:divBdr>
    </w:div>
    <w:div w:id="1639604046">
      <w:bodyDiv w:val="1"/>
      <w:marLeft w:val="0"/>
      <w:marRight w:val="0"/>
      <w:marTop w:val="0"/>
      <w:marBottom w:val="0"/>
      <w:divBdr>
        <w:top w:val="none" w:sz="0" w:space="0" w:color="auto"/>
        <w:left w:val="none" w:sz="0" w:space="0" w:color="auto"/>
        <w:bottom w:val="none" w:sz="0" w:space="0" w:color="auto"/>
        <w:right w:val="none" w:sz="0" w:space="0" w:color="auto"/>
      </w:divBdr>
    </w:div>
    <w:div w:id="1646082418">
      <w:bodyDiv w:val="1"/>
      <w:marLeft w:val="0"/>
      <w:marRight w:val="0"/>
      <w:marTop w:val="0"/>
      <w:marBottom w:val="0"/>
      <w:divBdr>
        <w:top w:val="none" w:sz="0" w:space="0" w:color="auto"/>
        <w:left w:val="none" w:sz="0" w:space="0" w:color="auto"/>
        <w:bottom w:val="none" w:sz="0" w:space="0" w:color="auto"/>
        <w:right w:val="none" w:sz="0" w:space="0" w:color="auto"/>
      </w:divBdr>
    </w:div>
    <w:div w:id="1657150279">
      <w:bodyDiv w:val="1"/>
      <w:marLeft w:val="0"/>
      <w:marRight w:val="0"/>
      <w:marTop w:val="0"/>
      <w:marBottom w:val="0"/>
      <w:divBdr>
        <w:top w:val="none" w:sz="0" w:space="0" w:color="auto"/>
        <w:left w:val="none" w:sz="0" w:space="0" w:color="auto"/>
        <w:bottom w:val="none" w:sz="0" w:space="0" w:color="auto"/>
        <w:right w:val="none" w:sz="0" w:space="0" w:color="auto"/>
      </w:divBdr>
    </w:div>
    <w:div w:id="1662463977">
      <w:bodyDiv w:val="1"/>
      <w:marLeft w:val="0"/>
      <w:marRight w:val="0"/>
      <w:marTop w:val="0"/>
      <w:marBottom w:val="0"/>
      <w:divBdr>
        <w:top w:val="none" w:sz="0" w:space="0" w:color="auto"/>
        <w:left w:val="none" w:sz="0" w:space="0" w:color="auto"/>
        <w:bottom w:val="none" w:sz="0" w:space="0" w:color="auto"/>
        <w:right w:val="none" w:sz="0" w:space="0" w:color="auto"/>
      </w:divBdr>
    </w:div>
    <w:div w:id="1672371897">
      <w:bodyDiv w:val="1"/>
      <w:marLeft w:val="0"/>
      <w:marRight w:val="0"/>
      <w:marTop w:val="0"/>
      <w:marBottom w:val="0"/>
      <w:divBdr>
        <w:top w:val="none" w:sz="0" w:space="0" w:color="auto"/>
        <w:left w:val="none" w:sz="0" w:space="0" w:color="auto"/>
        <w:bottom w:val="none" w:sz="0" w:space="0" w:color="auto"/>
        <w:right w:val="none" w:sz="0" w:space="0" w:color="auto"/>
      </w:divBdr>
    </w:div>
    <w:div w:id="1686982418">
      <w:bodyDiv w:val="1"/>
      <w:marLeft w:val="0"/>
      <w:marRight w:val="0"/>
      <w:marTop w:val="0"/>
      <w:marBottom w:val="0"/>
      <w:divBdr>
        <w:top w:val="none" w:sz="0" w:space="0" w:color="auto"/>
        <w:left w:val="none" w:sz="0" w:space="0" w:color="auto"/>
        <w:bottom w:val="none" w:sz="0" w:space="0" w:color="auto"/>
        <w:right w:val="none" w:sz="0" w:space="0" w:color="auto"/>
      </w:divBdr>
    </w:div>
    <w:div w:id="1703894822">
      <w:bodyDiv w:val="1"/>
      <w:marLeft w:val="0"/>
      <w:marRight w:val="0"/>
      <w:marTop w:val="0"/>
      <w:marBottom w:val="0"/>
      <w:divBdr>
        <w:top w:val="none" w:sz="0" w:space="0" w:color="auto"/>
        <w:left w:val="none" w:sz="0" w:space="0" w:color="auto"/>
        <w:bottom w:val="none" w:sz="0" w:space="0" w:color="auto"/>
        <w:right w:val="none" w:sz="0" w:space="0" w:color="auto"/>
      </w:divBdr>
    </w:div>
    <w:div w:id="1738894161">
      <w:bodyDiv w:val="1"/>
      <w:marLeft w:val="0"/>
      <w:marRight w:val="0"/>
      <w:marTop w:val="0"/>
      <w:marBottom w:val="0"/>
      <w:divBdr>
        <w:top w:val="none" w:sz="0" w:space="0" w:color="auto"/>
        <w:left w:val="none" w:sz="0" w:space="0" w:color="auto"/>
        <w:bottom w:val="none" w:sz="0" w:space="0" w:color="auto"/>
        <w:right w:val="none" w:sz="0" w:space="0" w:color="auto"/>
      </w:divBdr>
    </w:div>
    <w:div w:id="1764565205">
      <w:bodyDiv w:val="1"/>
      <w:marLeft w:val="0"/>
      <w:marRight w:val="0"/>
      <w:marTop w:val="0"/>
      <w:marBottom w:val="0"/>
      <w:divBdr>
        <w:top w:val="none" w:sz="0" w:space="0" w:color="auto"/>
        <w:left w:val="none" w:sz="0" w:space="0" w:color="auto"/>
        <w:bottom w:val="none" w:sz="0" w:space="0" w:color="auto"/>
        <w:right w:val="none" w:sz="0" w:space="0" w:color="auto"/>
      </w:divBdr>
    </w:div>
    <w:div w:id="1771899657">
      <w:bodyDiv w:val="1"/>
      <w:marLeft w:val="0"/>
      <w:marRight w:val="0"/>
      <w:marTop w:val="0"/>
      <w:marBottom w:val="0"/>
      <w:divBdr>
        <w:top w:val="none" w:sz="0" w:space="0" w:color="auto"/>
        <w:left w:val="none" w:sz="0" w:space="0" w:color="auto"/>
        <w:bottom w:val="none" w:sz="0" w:space="0" w:color="auto"/>
        <w:right w:val="none" w:sz="0" w:space="0" w:color="auto"/>
      </w:divBdr>
    </w:div>
    <w:div w:id="1812165207">
      <w:bodyDiv w:val="1"/>
      <w:marLeft w:val="0"/>
      <w:marRight w:val="0"/>
      <w:marTop w:val="0"/>
      <w:marBottom w:val="0"/>
      <w:divBdr>
        <w:top w:val="none" w:sz="0" w:space="0" w:color="auto"/>
        <w:left w:val="none" w:sz="0" w:space="0" w:color="auto"/>
        <w:bottom w:val="none" w:sz="0" w:space="0" w:color="auto"/>
        <w:right w:val="none" w:sz="0" w:space="0" w:color="auto"/>
      </w:divBdr>
    </w:div>
    <w:div w:id="1831367628">
      <w:bodyDiv w:val="1"/>
      <w:marLeft w:val="0"/>
      <w:marRight w:val="0"/>
      <w:marTop w:val="0"/>
      <w:marBottom w:val="0"/>
      <w:divBdr>
        <w:top w:val="none" w:sz="0" w:space="0" w:color="auto"/>
        <w:left w:val="none" w:sz="0" w:space="0" w:color="auto"/>
        <w:bottom w:val="none" w:sz="0" w:space="0" w:color="auto"/>
        <w:right w:val="none" w:sz="0" w:space="0" w:color="auto"/>
      </w:divBdr>
    </w:div>
    <w:div w:id="1843818520">
      <w:bodyDiv w:val="1"/>
      <w:marLeft w:val="0"/>
      <w:marRight w:val="0"/>
      <w:marTop w:val="0"/>
      <w:marBottom w:val="0"/>
      <w:divBdr>
        <w:top w:val="none" w:sz="0" w:space="0" w:color="auto"/>
        <w:left w:val="none" w:sz="0" w:space="0" w:color="auto"/>
        <w:bottom w:val="none" w:sz="0" w:space="0" w:color="auto"/>
        <w:right w:val="none" w:sz="0" w:space="0" w:color="auto"/>
      </w:divBdr>
      <w:divsChild>
        <w:div w:id="925915567">
          <w:marLeft w:val="0"/>
          <w:marRight w:val="0"/>
          <w:marTop w:val="0"/>
          <w:marBottom w:val="0"/>
          <w:divBdr>
            <w:top w:val="none" w:sz="0" w:space="0" w:color="auto"/>
            <w:left w:val="none" w:sz="0" w:space="0" w:color="auto"/>
            <w:bottom w:val="none" w:sz="0" w:space="0" w:color="auto"/>
            <w:right w:val="none" w:sz="0" w:space="0" w:color="auto"/>
          </w:divBdr>
        </w:div>
        <w:div w:id="720979235">
          <w:marLeft w:val="0"/>
          <w:marRight w:val="0"/>
          <w:marTop w:val="0"/>
          <w:marBottom w:val="0"/>
          <w:divBdr>
            <w:top w:val="none" w:sz="0" w:space="0" w:color="auto"/>
            <w:left w:val="none" w:sz="0" w:space="0" w:color="auto"/>
            <w:bottom w:val="none" w:sz="0" w:space="0" w:color="auto"/>
            <w:right w:val="none" w:sz="0" w:space="0" w:color="auto"/>
          </w:divBdr>
        </w:div>
        <w:div w:id="2084838406">
          <w:marLeft w:val="0"/>
          <w:marRight w:val="0"/>
          <w:marTop w:val="0"/>
          <w:marBottom w:val="0"/>
          <w:divBdr>
            <w:top w:val="none" w:sz="0" w:space="0" w:color="auto"/>
            <w:left w:val="none" w:sz="0" w:space="0" w:color="auto"/>
            <w:bottom w:val="none" w:sz="0" w:space="0" w:color="auto"/>
            <w:right w:val="none" w:sz="0" w:space="0" w:color="auto"/>
          </w:divBdr>
        </w:div>
        <w:div w:id="892236304">
          <w:marLeft w:val="0"/>
          <w:marRight w:val="0"/>
          <w:marTop w:val="0"/>
          <w:marBottom w:val="0"/>
          <w:divBdr>
            <w:top w:val="none" w:sz="0" w:space="0" w:color="auto"/>
            <w:left w:val="none" w:sz="0" w:space="0" w:color="auto"/>
            <w:bottom w:val="none" w:sz="0" w:space="0" w:color="auto"/>
            <w:right w:val="none" w:sz="0" w:space="0" w:color="auto"/>
          </w:divBdr>
        </w:div>
        <w:div w:id="124323163">
          <w:marLeft w:val="0"/>
          <w:marRight w:val="0"/>
          <w:marTop w:val="0"/>
          <w:marBottom w:val="0"/>
          <w:divBdr>
            <w:top w:val="none" w:sz="0" w:space="0" w:color="auto"/>
            <w:left w:val="none" w:sz="0" w:space="0" w:color="auto"/>
            <w:bottom w:val="none" w:sz="0" w:space="0" w:color="auto"/>
            <w:right w:val="none" w:sz="0" w:space="0" w:color="auto"/>
          </w:divBdr>
        </w:div>
        <w:div w:id="226116307">
          <w:marLeft w:val="0"/>
          <w:marRight w:val="0"/>
          <w:marTop w:val="0"/>
          <w:marBottom w:val="0"/>
          <w:divBdr>
            <w:top w:val="none" w:sz="0" w:space="0" w:color="auto"/>
            <w:left w:val="none" w:sz="0" w:space="0" w:color="auto"/>
            <w:bottom w:val="none" w:sz="0" w:space="0" w:color="auto"/>
            <w:right w:val="none" w:sz="0" w:space="0" w:color="auto"/>
          </w:divBdr>
        </w:div>
        <w:div w:id="850604881">
          <w:marLeft w:val="0"/>
          <w:marRight w:val="0"/>
          <w:marTop w:val="0"/>
          <w:marBottom w:val="0"/>
          <w:divBdr>
            <w:top w:val="none" w:sz="0" w:space="0" w:color="auto"/>
            <w:left w:val="none" w:sz="0" w:space="0" w:color="auto"/>
            <w:bottom w:val="none" w:sz="0" w:space="0" w:color="auto"/>
            <w:right w:val="none" w:sz="0" w:space="0" w:color="auto"/>
          </w:divBdr>
        </w:div>
        <w:div w:id="1386446485">
          <w:marLeft w:val="0"/>
          <w:marRight w:val="0"/>
          <w:marTop w:val="0"/>
          <w:marBottom w:val="0"/>
          <w:divBdr>
            <w:top w:val="none" w:sz="0" w:space="0" w:color="auto"/>
            <w:left w:val="none" w:sz="0" w:space="0" w:color="auto"/>
            <w:bottom w:val="none" w:sz="0" w:space="0" w:color="auto"/>
            <w:right w:val="none" w:sz="0" w:space="0" w:color="auto"/>
          </w:divBdr>
        </w:div>
        <w:div w:id="1449350024">
          <w:marLeft w:val="0"/>
          <w:marRight w:val="0"/>
          <w:marTop w:val="0"/>
          <w:marBottom w:val="0"/>
          <w:divBdr>
            <w:top w:val="none" w:sz="0" w:space="0" w:color="auto"/>
            <w:left w:val="none" w:sz="0" w:space="0" w:color="auto"/>
            <w:bottom w:val="none" w:sz="0" w:space="0" w:color="auto"/>
            <w:right w:val="none" w:sz="0" w:space="0" w:color="auto"/>
          </w:divBdr>
        </w:div>
        <w:div w:id="697046807">
          <w:marLeft w:val="0"/>
          <w:marRight w:val="0"/>
          <w:marTop w:val="0"/>
          <w:marBottom w:val="0"/>
          <w:divBdr>
            <w:top w:val="none" w:sz="0" w:space="0" w:color="auto"/>
            <w:left w:val="none" w:sz="0" w:space="0" w:color="auto"/>
            <w:bottom w:val="none" w:sz="0" w:space="0" w:color="auto"/>
            <w:right w:val="none" w:sz="0" w:space="0" w:color="auto"/>
          </w:divBdr>
        </w:div>
      </w:divsChild>
    </w:div>
    <w:div w:id="1931236585">
      <w:bodyDiv w:val="1"/>
      <w:marLeft w:val="0"/>
      <w:marRight w:val="0"/>
      <w:marTop w:val="0"/>
      <w:marBottom w:val="0"/>
      <w:divBdr>
        <w:top w:val="none" w:sz="0" w:space="0" w:color="auto"/>
        <w:left w:val="none" w:sz="0" w:space="0" w:color="auto"/>
        <w:bottom w:val="none" w:sz="0" w:space="0" w:color="auto"/>
        <w:right w:val="none" w:sz="0" w:space="0" w:color="auto"/>
      </w:divBdr>
    </w:div>
    <w:div w:id="1933123091">
      <w:bodyDiv w:val="1"/>
      <w:marLeft w:val="0"/>
      <w:marRight w:val="0"/>
      <w:marTop w:val="0"/>
      <w:marBottom w:val="0"/>
      <w:divBdr>
        <w:top w:val="none" w:sz="0" w:space="0" w:color="auto"/>
        <w:left w:val="none" w:sz="0" w:space="0" w:color="auto"/>
        <w:bottom w:val="none" w:sz="0" w:space="0" w:color="auto"/>
        <w:right w:val="none" w:sz="0" w:space="0" w:color="auto"/>
      </w:divBdr>
    </w:div>
    <w:div w:id="1960406354">
      <w:bodyDiv w:val="1"/>
      <w:marLeft w:val="0"/>
      <w:marRight w:val="0"/>
      <w:marTop w:val="0"/>
      <w:marBottom w:val="0"/>
      <w:divBdr>
        <w:top w:val="none" w:sz="0" w:space="0" w:color="auto"/>
        <w:left w:val="none" w:sz="0" w:space="0" w:color="auto"/>
        <w:bottom w:val="none" w:sz="0" w:space="0" w:color="auto"/>
        <w:right w:val="none" w:sz="0" w:space="0" w:color="auto"/>
      </w:divBdr>
    </w:div>
    <w:div w:id="1968319889">
      <w:bodyDiv w:val="1"/>
      <w:marLeft w:val="0"/>
      <w:marRight w:val="0"/>
      <w:marTop w:val="0"/>
      <w:marBottom w:val="0"/>
      <w:divBdr>
        <w:top w:val="none" w:sz="0" w:space="0" w:color="auto"/>
        <w:left w:val="none" w:sz="0" w:space="0" w:color="auto"/>
        <w:bottom w:val="none" w:sz="0" w:space="0" w:color="auto"/>
        <w:right w:val="none" w:sz="0" w:space="0" w:color="auto"/>
      </w:divBdr>
    </w:div>
    <w:div w:id="2044593624">
      <w:bodyDiv w:val="1"/>
      <w:marLeft w:val="0"/>
      <w:marRight w:val="0"/>
      <w:marTop w:val="0"/>
      <w:marBottom w:val="0"/>
      <w:divBdr>
        <w:top w:val="none" w:sz="0" w:space="0" w:color="auto"/>
        <w:left w:val="none" w:sz="0" w:space="0" w:color="auto"/>
        <w:bottom w:val="none" w:sz="0" w:space="0" w:color="auto"/>
        <w:right w:val="none" w:sz="0" w:space="0" w:color="auto"/>
      </w:divBdr>
    </w:div>
    <w:div w:id="2078235799">
      <w:bodyDiv w:val="1"/>
      <w:marLeft w:val="0"/>
      <w:marRight w:val="0"/>
      <w:marTop w:val="0"/>
      <w:marBottom w:val="0"/>
      <w:divBdr>
        <w:top w:val="none" w:sz="0" w:space="0" w:color="auto"/>
        <w:left w:val="none" w:sz="0" w:space="0" w:color="auto"/>
        <w:bottom w:val="none" w:sz="0" w:space="0" w:color="auto"/>
        <w:right w:val="none" w:sz="0" w:space="0" w:color="auto"/>
      </w:divBdr>
    </w:div>
    <w:div w:id="21064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CLTPSJ</dc:creator>
  <cp:keywords/>
  <dc:description/>
  <cp:lastModifiedBy>MVS</cp:lastModifiedBy>
  <cp:revision>2</cp:revision>
  <dcterms:created xsi:type="dcterms:W3CDTF">2021-05-30T11:39:00Z</dcterms:created>
  <dcterms:modified xsi:type="dcterms:W3CDTF">2021-05-30T11:39:00Z</dcterms:modified>
</cp:coreProperties>
</file>